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宋体" w:eastAsia="黑体" w:cs="宋体"/>
          <w:color w:val="auto"/>
          <w:kern w:val="0"/>
          <w:sz w:val="28"/>
          <w:szCs w:val="28"/>
          <w:highlight w:val="none"/>
          <w:lang w:val="en-US" w:eastAsia="zh-CN"/>
        </w:rPr>
      </w:pPr>
      <w:bookmarkStart w:id="0" w:name="_GoBack"/>
      <w:r>
        <w:rPr>
          <w:rFonts w:hint="eastAsia" w:ascii="黑体" w:hAnsi="宋体" w:eastAsia="黑体" w:cs="宋体"/>
          <w:color w:val="auto"/>
          <w:kern w:val="0"/>
          <w:sz w:val="28"/>
          <w:szCs w:val="28"/>
          <w:highlight w:val="none"/>
          <w:lang w:val="en-US" w:eastAsia="zh-CN"/>
        </w:rPr>
        <w:t xml:space="preserve">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2018年度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许昌市水务局</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二〇一九年九月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eastAsia="zh-CN"/>
        </w:rPr>
        <w:t>许昌市水务局</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2018年度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黑体" w:eastAsia="黑体" w:cs="黑体"/>
          <w:color w:val="auto"/>
          <w:sz w:val="48"/>
          <w:szCs w:val="48"/>
          <w:highlight w:val="none"/>
        </w:rPr>
        <w:sectPr>
          <w:footerReference r:id="rId3" w:type="default"/>
          <w:footerReference r:id="rId4" w:type="even"/>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许昌市水务局</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highlight w:val="none"/>
        </w:rPr>
        <w:t>职责</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(一)负责保障水资源的合理开发利用。拟订全市水务发展战略规划、中长期规划和年度计划;组织编制水务综合规划、专业规划和专项规划;制定水务年度投资计划并组织实施。</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二)负责统一管理全市水资源(包括地表水、地下水、再生水、南水北调水及其他外调水)。负责拟订全市和跨县(市)中长期水供求计划、水量分配方案并监督实施;负责组织水资源的调查评价;组织全市有关国民经济总体规划、城市规划及重大建设项目的水资源、防洪、节水、再生水利用等方面的论证工作;组织实施取水许可制度、水资源有偿使用制度、水务规费征收使用制度;发布全市水资源公报。</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三)负责推进城乡水务一体化建设。负责全市水资源的合理开发利用,积极推进职能有机统一的城乡水务管理体制,统筹推进城乡水务一体化进程;负责保障城乡生活、生产经营和生态环境用水;负责本市城市规划区、生态水系及其他重要水工程的水资源调度;负责全市河道的综合整治及水生态、水环境的建设与管理。</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四)负责水资源保护工作。编制全市水资源保护规划,拟订水功能区划并监督实施;负责监测河道、水库及其他水体排污的水量、水质,核定水域的纳污能力,提出限制排污总量的意见;负责饮用水水源地和城市规划区地下水资源管理保护工作。负责最严格水资源管理制度贯彻落实及考核工作;开展水生态系统保护与修复,推进水生态文明建设。</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五)负责防治水旱灾害。承担许昌市防汛抗旱指挥部的具体工作。组织、协调、监督、指挥全市防汛抗旱工作,对河流湖库和重要水工程实施防汛抗旱调度和应急水量调度;编制全市防汛抗旱应急预案、抗旱规划并组织实施。负责水务突发公共事件的应急管理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六)负责节约用水工作。编制全市节约用水规划;制定有关节约用水标准,管理监督节约用水工作;负责市管计划用水单位年度用水指标的核定和下达;负责本市城市规划区内节约用水“三同时”制度的实施工作;负责推动节水型社会建设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(七)编制、审查全市水务基本建设项目建议书、可行性研究报告和初步设计。</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(八)负责全市河道、水库、湖泊、灌区、蓄洪区、泄洪区等水域及其岸线的管理工作;负责河、湖、水库及滩地的治理和开发;负责水务工程建设与运行管理;指导水利旅游事业管理工作。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九)负责全市农村水利和水土保持工作。负责协调农田水利基本建设和农村饮水安全、节水灌溉等工作;负责农田水利灌溉、机排灌站、旱涝保收田、农田灌溉实验和水利技术推广工作;指导农村水利社会化服务体系建设;研究制定全市水土保持规划并监督实施;负责水土流失的监测、预报和综合防治工作;负责市管开发建设项目水土保持方案的审批并监督实施;组织水土保持设施的竣工验收;负责全市水土保持建设项目的实施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负责全市水政监察和水行政执法工作。协调、仲裁并处理跨市县和县(市、区)水事纠纷;依法负责水务行业安全生产工作;组织、指导水库、大坝的安全监管工作;指导水务建设市场的监督管理工作;组织实施水务工程建设的监督和稽查工作;负责全市水利公安联动执法工作。</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(十一)开展全市水务科技和教育工作。组织实施水务行业质量与安全监督工作,对水务行业技术标准、规程规范实施监督;承担水务统计工作;组织开展水务经济技术培训与交流;指导全市水务队伍建设。</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(十二)负责移民工作。贯彻实施全省移民政策和法规、规章;编制落实移民后期扶持规划、计划;组织、指导移民搬迁、安置和后期生产扶持工作;管理和监督移民后期扶持资金的使用。</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(十三)负责全市供排水行业管理。负责全市供水水质监督管理工作,参与供水、排水水价规划和水价调整工作;负责城区供水、排水、污水处理设施的运行监管;组织实施排水许可制度,依法收取污水处理费等规费。</w:t>
      </w:r>
    </w:p>
    <w:p>
      <w:pPr>
        <w:widowControl/>
        <w:ind w:firstLine="640" w:firstLineChars="200"/>
        <w:jc w:val="left"/>
        <w:outlineLvl w:val="1"/>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(十四)承办市政府交办的其他事项。</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许昌市水务局内设机构10个，包括</w:t>
      </w:r>
      <w:r>
        <w:rPr>
          <w:rFonts w:hint="eastAsia" w:ascii="仿宋_GB2312" w:hAnsi="仿宋_GB2312" w:eastAsia="仿宋_GB2312" w:cs="仿宋_GB2312"/>
          <w:sz w:val="32"/>
          <w:szCs w:val="32"/>
          <w:highlight w:val="none"/>
        </w:rPr>
        <w:t>办公室、规划计划科、水政水资源行政审批科、资金管理科、建设与管理科、农村水利科、供排水管理科、移民综合科、防汛抗旱指挥部办公室、人事科。</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从决算单位构成看，许昌市水务局部门决算包括：本级决算、所属单位决算。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纳入本部门2018年度部门决算编制范围的单位共10个，其中二级预算单位10个，具体是：</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1、许昌市水务局本级</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2、许昌市颍汝灌溉管理局</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3、许昌市水利规划设计院</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4、许昌市河湖水系水源调度中心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5、许昌市节约用水办公室</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6、许昌市污水处理费征收管理中心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7、许昌农田水利技术试验推广站</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8、许昌市防汛通信分站</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9、许昌市供排水监管中心</w:t>
      </w:r>
    </w:p>
    <w:p>
      <w:pPr>
        <w:widowControl/>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10、许昌市水利工程质量监督站</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部门：许昌市水务局</w:t>
            </w:r>
          </w:p>
        </w:tc>
        <w:tc>
          <w:tcPr>
            <w:tcW w:w="825"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764"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4671"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5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69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15040.87</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color w:val="auto"/>
                <w:highlight w:val="none"/>
                <w:lang w:val="en-US" w:eastAsia="zh-CN"/>
              </w:rPr>
            </w:pPr>
            <w:r>
              <w:rPr>
                <w:rFonts w:hint="default"/>
                <w:color w:val="auto"/>
                <w:highlight w:val="none"/>
                <w:lang w:val="en-US"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35</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457.22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九、医疗卫生与计划生育支出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36</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183.17</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十、节能环保支出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37</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57.16</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0</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十一、城乡社区支出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38</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2,347.31</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49</w:t>
            </w:r>
          </w:p>
        </w:tc>
        <w:tc>
          <w:tcPr>
            <w:tcW w:w="4671"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left"/>
              <w:rPr>
                <w:rFonts w:hint="eastAsia"/>
                <w:color w:val="auto"/>
                <w:highlight w:val="none"/>
                <w:lang w:val="en-US" w:eastAsia="zh-CN"/>
              </w:rPr>
            </w:pPr>
            <w:r>
              <w:rPr>
                <w:rFonts w:hint="default"/>
                <w:color w:val="auto"/>
                <w:highlight w:val="none"/>
                <w:lang w:val="en-US" w:eastAsia="zh-CN"/>
              </w:rPr>
              <w:t>十二、农林水支出</w:t>
            </w:r>
          </w:p>
        </w:tc>
        <w:tc>
          <w:tcPr>
            <w:tcW w:w="750"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jc w:val="center"/>
              <w:rPr>
                <w:rFonts w:hint="eastAsia"/>
                <w:color w:val="auto"/>
                <w:highlight w:val="none"/>
                <w:lang w:val="en-US" w:eastAsia="zh-CN"/>
              </w:rPr>
            </w:pPr>
            <w:r>
              <w:rPr>
                <w:rFonts w:hint="default"/>
                <w:color w:val="auto"/>
                <w:highlight w:val="none"/>
                <w:lang w:val="en-US" w:eastAsia="zh-CN"/>
              </w:rPr>
              <w:t>39</w:t>
            </w:r>
          </w:p>
        </w:tc>
        <w:tc>
          <w:tcPr>
            <w:tcW w:w="169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10,784.55</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15273.04</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13,648.13</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346.01</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0.00</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9362.16</w:t>
            </w:r>
          </w:p>
        </w:tc>
        <w:tc>
          <w:tcPr>
            <w:tcW w:w="4671"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1699"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default" w:ascii="宋体" w:hAnsi="宋体" w:eastAsia="宋体" w:cs="宋体"/>
                <w:i w:val="0"/>
                <w:color w:val="000000"/>
                <w:sz w:val="20"/>
                <w:szCs w:val="20"/>
                <w:highlight w:val="none"/>
                <w:u w:val="none"/>
                <w:lang w:val="en-US" w:eastAsia="zh-CN"/>
              </w:rPr>
              <w:t>11,333.07</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24981.21</w:t>
            </w:r>
          </w:p>
        </w:tc>
        <w:tc>
          <w:tcPr>
            <w:tcW w:w="4671"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1699"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20"/>
                <w:szCs w:val="20"/>
                <w:highlight w:val="none"/>
                <w:u w:val="none"/>
                <w:lang w:val="en-US" w:eastAsia="zh-CN"/>
              </w:rPr>
              <w:t>24981.21</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038"/>
        <w:gridCol w:w="59"/>
        <w:gridCol w:w="31"/>
        <w:gridCol w:w="2431"/>
        <w:gridCol w:w="173"/>
        <w:gridCol w:w="249"/>
        <w:gridCol w:w="987"/>
        <w:gridCol w:w="582"/>
        <w:gridCol w:w="1025"/>
        <w:gridCol w:w="544"/>
        <w:gridCol w:w="850"/>
        <w:gridCol w:w="720"/>
        <w:gridCol w:w="659"/>
        <w:gridCol w:w="910"/>
        <w:gridCol w:w="444"/>
        <w:gridCol w:w="1125"/>
        <w:gridCol w:w="533"/>
        <w:gridCol w:w="1628"/>
      </w:tblGrid>
      <w:tr>
        <w:tblPrEx>
          <w:tblCellMar>
            <w:top w:w="0" w:type="dxa"/>
            <w:left w:w="0" w:type="dxa"/>
            <w:bottom w:w="0" w:type="dxa"/>
            <w:right w:w="0" w:type="dxa"/>
          </w:tblCellMar>
        </w:tblPrEx>
        <w:trPr>
          <w:trHeight w:val="435" w:hRule="atLeast"/>
        </w:trPr>
        <w:tc>
          <w:tcPr>
            <w:tcW w:w="13988"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收入决算表</w:t>
            </w:r>
          </w:p>
        </w:tc>
      </w:tr>
      <w:tr>
        <w:tblPrEx>
          <w:tblCellMar>
            <w:top w:w="0" w:type="dxa"/>
            <w:left w:w="0" w:type="dxa"/>
            <w:bottom w:w="0" w:type="dxa"/>
            <w:right w:w="0" w:type="dxa"/>
          </w:tblCellMar>
        </w:tblPrEx>
        <w:trPr>
          <w:trHeight w:val="285" w:hRule="atLeast"/>
        </w:trPr>
        <w:tc>
          <w:tcPr>
            <w:tcW w:w="103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604"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7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16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公开02表</w:t>
            </w:r>
          </w:p>
        </w:tc>
      </w:tr>
      <w:tr>
        <w:tblPrEx>
          <w:tblCellMar>
            <w:top w:w="0" w:type="dxa"/>
            <w:left w:w="0" w:type="dxa"/>
            <w:bottom w:w="0" w:type="dxa"/>
            <w:right w:w="0" w:type="dxa"/>
          </w:tblCellMar>
        </w:tblPrEx>
        <w:trPr>
          <w:trHeight w:val="300" w:hRule="atLeast"/>
        </w:trPr>
        <w:tc>
          <w:tcPr>
            <w:tcW w:w="103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604" w:type="dxa"/>
            <w:gridSpan w:val="2"/>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249"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9"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16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50" w:hRule="atLeast"/>
        </w:trPr>
        <w:tc>
          <w:tcPr>
            <w:tcW w:w="3732" w:type="dxa"/>
            <w:gridSpan w:val="5"/>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23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本年收入合计</w:t>
            </w:r>
          </w:p>
        </w:tc>
        <w:tc>
          <w:tcPr>
            <w:tcW w:w="1607"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财政拨款收入</w:t>
            </w:r>
          </w:p>
        </w:tc>
        <w:tc>
          <w:tcPr>
            <w:tcW w:w="139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上级补助收入</w:t>
            </w:r>
          </w:p>
        </w:tc>
        <w:tc>
          <w:tcPr>
            <w:tcW w:w="137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事业收入</w:t>
            </w:r>
          </w:p>
        </w:tc>
        <w:tc>
          <w:tcPr>
            <w:tcW w:w="135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经营收入</w:t>
            </w:r>
          </w:p>
        </w:tc>
        <w:tc>
          <w:tcPr>
            <w:tcW w:w="165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附属单位上缴收入</w:t>
            </w:r>
          </w:p>
        </w:tc>
        <w:tc>
          <w:tcPr>
            <w:tcW w:w="1628"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其他收入</w:t>
            </w:r>
          </w:p>
        </w:tc>
      </w:tr>
      <w:tr>
        <w:tblPrEx>
          <w:tblCellMar>
            <w:top w:w="0" w:type="dxa"/>
            <w:left w:w="0" w:type="dxa"/>
            <w:bottom w:w="0" w:type="dxa"/>
            <w:right w:w="0" w:type="dxa"/>
          </w:tblCellMar>
        </w:tblPrEx>
        <w:trPr>
          <w:trHeight w:val="450" w:hRule="atLeast"/>
        </w:trPr>
        <w:tc>
          <w:tcPr>
            <w:tcW w:w="1097"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63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23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0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9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7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097"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63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3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0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9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7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8"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3732" w:type="dxa"/>
            <w:gridSpan w:val="5"/>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65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628"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450" w:hRule="atLeast"/>
        </w:trPr>
        <w:tc>
          <w:tcPr>
            <w:tcW w:w="3732" w:type="dxa"/>
            <w:gridSpan w:val="5"/>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napToGrid/>
              <w:spacing w:before="0" w:beforeLines="0" w:after="0" w:afterLines="0" w:line="192" w:lineRule="auto"/>
              <w:ind w:left="0" w:leftChars="0" w:right="0" w:rightChars="0" w:firstLine="0" w:firstLineChars="0"/>
              <w:jc w:val="center"/>
              <w:textAlignment w:val="center"/>
              <w:outlineLvl w:val="9"/>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2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15,273.04</w:t>
            </w:r>
          </w:p>
        </w:tc>
        <w:tc>
          <w:tcPr>
            <w:tcW w:w="16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15,040.87</w:t>
            </w:r>
          </w:p>
        </w:tc>
        <w:tc>
          <w:tcPr>
            <w:tcW w:w="1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3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183.17</w:t>
            </w: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62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49.00</w:t>
            </w:r>
          </w:p>
        </w:tc>
      </w:tr>
      <w:tr>
        <w:tblPrEx>
          <w:tblCellMar>
            <w:top w:w="0" w:type="dxa"/>
            <w:left w:w="0" w:type="dxa"/>
            <w:bottom w:w="0" w:type="dxa"/>
            <w:right w:w="0" w:type="dxa"/>
          </w:tblCellMar>
        </w:tblPrEx>
        <w:trPr>
          <w:trHeight w:val="380" w:hRule="atLeast"/>
        </w:trPr>
        <w:tc>
          <w:tcPr>
            <w:tcW w:w="1097" w:type="dxa"/>
            <w:gridSpan w:val="2"/>
            <w:tcBorders>
              <w:top w:val="single" w:color="000000" w:sz="4" w:space="0"/>
              <w:left w:val="single" w:color="000000" w:sz="8"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635" w:type="dxa"/>
            <w:gridSpan w:val="3"/>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1236"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华文中宋" w:hAnsi="华文中宋" w:eastAsia="华文中宋" w:cs="华文中宋"/>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4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3.79</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462.41</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462.41</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14"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436.38</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436.38</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554" w:hRule="atLeast"/>
        </w:trPr>
        <w:tc>
          <w:tcPr>
            <w:tcW w:w="109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635"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156.16</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156.16</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90" w:hRule="atLeast"/>
        </w:trPr>
        <w:tc>
          <w:tcPr>
            <w:tcW w:w="109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63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123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272.17</w:t>
            </w:r>
          </w:p>
        </w:tc>
        <w:tc>
          <w:tcPr>
            <w:tcW w:w="160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272.17</w:t>
            </w:r>
          </w:p>
        </w:tc>
        <w:tc>
          <w:tcPr>
            <w:tcW w:w="139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8.05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8.05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5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9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26.03</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655.30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655.30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4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543.50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543.50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6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62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415.50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415.50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1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城乡社区公共设施</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9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其他城乡社区公共设施支出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3.80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9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108.00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14,151.54</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13,919.37</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90"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14,095.29</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13,863.12</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34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840.31</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840.31</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3,733.78</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3,733.78</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7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4,151.87</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4,151.87</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4,068.00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4,068.00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40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2130308</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水利前期工作</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183.17</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2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8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731.04</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731.04</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29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149.00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149.00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4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70.00</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70.00</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128.12</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79.12</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49.00</w:t>
            </w:r>
          </w:p>
        </w:tc>
      </w:tr>
      <w:tr>
        <w:tblPrEx>
          <w:tblCellMar>
            <w:top w:w="0" w:type="dxa"/>
            <w:left w:w="0" w:type="dxa"/>
            <w:bottom w:w="0" w:type="dxa"/>
            <w:right w:w="0" w:type="dxa"/>
          </w:tblCellMar>
        </w:tblPrEx>
        <w:trPr>
          <w:trHeight w:val="329"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r>
        <w:tblPrEx>
          <w:tblCellMar>
            <w:top w:w="0" w:type="dxa"/>
            <w:left w:w="0" w:type="dxa"/>
            <w:bottom w:w="0" w:type="dxa"/>
            <w:right w:w="0" w:type="dxa"/>
          </w:tblCellMar>
        </w:tblPrEx>
        <w:trPr>
          <w:trHeight w:val="354" w:hRule="atLeast"/>
        </w:trPr>
        <w:tc>
          <w:tcPr>
            <w:tcW w:w="10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left"/>
              <w:textAlignment w:val="center"/>
              <w:outlineLvl w:val="9"/>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14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56.25</w:t>
            </w: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3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192" w:lineRule="auto"/>
              <w:ind w:left="0" w:leftChars="0" w:right="0" w:rightChars="0" w:firstLine="0" w:firstLineChars="0"/>
              <w:jc w:val="right"/>
              <w:textAlignment w:val="center"/>
              <w:outlineLvl w:val="9"/>
              <w:rPr>
                <w:highlight w:val="none"/>
              </w:rPr>
            </w:pPr>
            <w:r>
              <w:rPr>
                <w:rFonts w:hint="default" w:ascii="宋体" w:hAnsi="宋体" w:eastAsia="宋体"/>
                <w:b w:val="0"/>
                <w:i w:val="0"/>
                <w:snapToGrid/>
                <w:color w:val="000000"/>
                <w:sz w:val="22"/>
                <w:highlight w:val="none"/>
                <w:u w:val="none"/>
                <w:lang w:eastAsia="zh-CN"/>
              </w:rPr>
              <w:t>0.00</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1120"/>
        <w:gridCol w:w="63"/>
        <w:gridCol w:w="27"/>
        <w:gridCol w:w="1562"/>
        <w:gridCol w:w="885"/>
        <w:gridCol w:w="676"/>
        <w:gridCol w:w="974"/>
        <w:gridCol w:w="828"/>
        <w:gridCol w:w="1152"/>
        <w:gridCol w:w="649"/>
        <w:gridCol w:w="1136"/>
        <w:gridCol w:w="666"/>
        <w:gridCol w:w="894"/>
        <w:gridCol w:w="907"/>
        <w:gridCol w:w="540"/>
        <w:gridCol w:w="1909"/>
      </w:tblGrid>
      <w:tr>
        <w:tblPrEx>
          <w:tblCellMar>
            <w:top w:w="0" w:type="dxa"/>
            <w:left w:w="0" w:type="dxa"/>
            <w:bottom w:w="0" w:type="dxa"/>
            <w:right w:w="0" w:type="dxa"/>
          </w:tblCellMar>
        </w:tblPrEx>
        <w:trPr>
          <w:trHeight w:val="435" w:hRule="atLeast"/>
        </w:trPr>
        <w:tc>
          <w:tcPr>
            <w:tcW w:w="13988" w:type="dxa"/>
            <w:gridSpan w:val="1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2"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single" w:color="auto"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90"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562" w:type="dxa"/>
            <w:tcBorders>
              <w:top w:val="nil"/>
              <w:left w:val="nil"/>
              <w:bottom w:val="single" w:color="auto" w:sz="4" w:space="0"/>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56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2"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802"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801"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449" w:type="dxa"/>
            <w:gridSpan w:val="2"/>
            <w:tcBorders>
              <w:top w:val="nil"/>
              <w:left w:val="nil"/>
              <w:bottom w:val="single" w:color="auto"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65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本年支出合计</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1785"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上缴上级支出</w:t>
            </w:r>
          </w:p>
        </w:tc>
        <w:tc>
          <w:tcPr>
            <w:tcW w:w="144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经营支出</w:t>
            </w:r>
          </w:p>
        </w:tc>
        <w:tc>
          <w:tcPr>
            <w:tcW w:w="190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4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6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8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6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4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5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85"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60"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47"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65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98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78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560"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447"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90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50" w:hRule="atLeast"/>
        </w:trPr>
        <w:tc>
          <w:tcPr>
            <w:tcW w:w="3657" w:type="dxa"/>
            <w:gridSpan w:val="5"/>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13,648.13</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5,482.45</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7,905.29</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457.22</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50" w:hRule="atLeast"/>
        </w:trPr>
        <w:tc>
          <w:tcPr>
            <w:tcW w:w="118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47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47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16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19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17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大中型水库移民后期扶持基金支出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其他大中型水库移民后期扶持基金支出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节能环保支出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污染防治</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大气</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水体</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2,347.31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2,347.31</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城乡社区公共设施</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其他城乡社区公共设施支出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国有土地使用权出让收入及对应专项债务收入安排的支出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其他国有土地使用权出让收入安排的支出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1,732.18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10,784.55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5,025.66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5,498.50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农业</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2130104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事业运行</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10.08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10,543.63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5,025.66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5,257.58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716.08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716.08</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2,740.78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2,740.78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4,609.31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3,628.86</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980.45</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912.16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912.16</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2130306</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水利工程运行与维护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1.40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1.40</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2130308</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水利前期工作</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270.72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10.33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260.40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25.92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25.92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772.00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680.72</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91.28</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32.53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32.53</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109.45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109.45</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2130317</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水利技术推广</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353.22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353.22</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630" w:hRule="atLeast"/>
        </w:trPr>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474" w:type="dxa"/>
            <w:gridSpan w:val="3"/>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230.84</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357"/>
        <w:gridCol w:w="637"/>
        <w:gridCol w:w="308"/>
        <w:gridCol w:w="412"/>
        <w:gridCol w:w="1210"/>
        <w:gridCol w:w="2908"/>
        <w:gridCol w:w="492"/>
        <w:gridCol w:w="288"/>
        <w:gridCol w:w="309"/>
        <w:gridCol w:w="708"/>
        <w:gridCol w:w="453"/>
        <w:gridCol w:w="890"/>
        <w:gridCol w:w="336"/>
        <w:gridCol w:w="1680"/>
      </w:tblGrid>
      <w:tr>
        <w:tblPrEx>
          <w:tblCellMar>
            <w:top w:w="0" w:type="dxa"/>
            <w:left w:w="0" w:type="dxa"/>
            <w:bottom w:w="0" w:type="dxa"/>
            <w:right w:w="0" w:type="dxa"/>
          </w:tblCellMar>
        </w:tblPrEx>
        <w:trPr>
          <w:trHeight w:val="360" w:hRule="atLeast"/>
        </w:trPr>
        <w:tc>
          <w:tcPr>
            <w:tcW w:w="13988"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财政拨款收入支出决算总表</w:t>
            </w:r>
          </w:p>
        </w:tc>
      </w:tr>
      <w:tr>
        <w:tblPrEx>
          <w:tblCellMar>
            <w:top w:w="0" w:type="dxa"/>
            <w:left w:w="0" w:type="dxa"/>
            <w:bottom w:w="0" w:type="dxa"/>
            <w:right w:w="0" w:type="dxa"/>
          </w:tblCellMar>
        </w:tblPrEx>
        <w:trPr>
          <w:trHeight w:val="199" w:hRule="atLeast"/>
        </w:trPr>
        <w:tc>
          <w:tcPr>
            <w:tcW w:w="3994"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2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340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597"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34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公开04表</w:t>
            </w:r>
          </w:p>
        </w:tc>
      </w:tr>
      <w:tr>
        <w:tblPrEx>
          <w:tblCellMar>
            <w:top w:w="0" w:type="dxa"/>
            <w:left w:w="0" w:type="dxa"/>
            <w:bottom w:w="0" w:type="dxa"/>
            <w:right w:w="0" w:type="dxa"/>
          </w:tblCellMar>
        </w:tblPrEx>
        <w:trPr>
          <w:trHeight w:val="300" w:hRule="atLeast"/>
        </w:trPr>
        <w:tc>
          <w:tcPr>
            <w:tcW w:w="3994"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部门：许昌市水务局</w:t>
            </w:r>
          </w:p>
        </w:tc>
        <w:tc>
          <w:tcPr>
            <w:tcW w:w="72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210"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3400"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597"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708" w:type="dxa"/>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343" w:type="dxa"/>
            <w:gridSpan w:val="2"/>
            <w:tcBorders>
              <w:top w:val="nil"/>
              <w:left w:val="nil"/>
              <w:bottom w:val="nil"/>
              <w:right w:val="nil"/>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016"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2" w:hRule="atLeast"/>
        </w:trPr>
        <w:tc>
          <w:tcPr>
            <w:tcW w:w="5924" w:type="dxa"/>
            <w:gridSpan w:val="5"/>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收入</w:t>
            </w:r>
          </w:p>
        </w:tc>
        <w:tc>
          <w:tcPr>
            <w:tcW w:w="8064" w:type="dxa"/>
            <w:gridSpan w:val="9"/>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支出</w:t>
            </w:r>
          </w:p>
        </w:tc>
      </w:tr>
      <w:tr>
        <w:tblPrEx>
          <w:tblCellMar>
            <w:top w:w="0" w:type="dxa"/>
            <w:left w:w="0" w:type="dxa"/>
            <w:bottom w:w="0" w:type="dxa"/>
            <w:right w:w="0" w:type="dxa"/>
          </w:tblCellMar>
        </w:tblPrEx>
        <w:trPr>
          <w:trHeight w:val="630"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行次</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2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政府性基金预算财政拨款</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    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一、一般公共预算财政拨款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15,040.87</w:t>
            </w: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八、社会保障和就业支出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35</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457.22</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二、政府性基金预算财政拨款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九、医疗卫生与计划生育支出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36</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十、节能环保支出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37</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57.16</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57.16</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十一、城乡社区支出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38</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2,346.81</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614.63</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2908" w:type="dxa"/>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十二、农林水支出</w:t>
            </w:r>
          </w:p>
        </w:tc>
        <w:tc>
          <w:tcPr>
            <w:tcW w:w="780" w:type="dxa"/>
            <w:gridSpan w:val="2"/>
            <w:tcBorders>
              <w:top w:val="single" w:color="000000" w:sz="4" w:space="0"/>
              <w:left w:val="single" w:color="000000" w:sz="4" w:space="0"/>
              <w:bottom w:val="single" w:color="000000" w:sz="4" w:space="0"/>
              <w:right w:val="single" w:color="000000" w:sz="4" w:space="0"/>
            </w:tcBorders>
            <w:shd w:val="clear" w:color="C0C0C0"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default" w:ascii="宋体" w:hAnsi="宋体" w:eastAsia="宋体" w:cs="宋体"/>
                <w:i w:val="0"/>
                <w:color w:val="000000"/>
                <w:kern w:val="0"/>
                <w:sz w:val="20"/>
                <w:szCs w:val="20"/>
                <w:highlight w:val="none"/>
                <w:u w:val="none"/>
                <w:lang w:val="en-US" w:eastAsia="zh-CN" w:bidi="ar"/>
              </w:rPr>
              <w:t>39</w:t>
            </w:r>
          </w:p>
        </w:tc>
        <w:tc>
          <w:tcPr>
            <w:tcW w:w="1470" w:type="dxa"/>
            <w:gridSpan w:val="3"/>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9,993.62</w:t>
            </w:r>
          </w:p>
        </w:tc>
        <w:tc>
          <w:tcPr>
            <w:tcW w:w="1226" w:type="dxa"/>
            <w:gridSpan w:val="2"/>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9,993.62</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本年收入合计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15,040.87</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本年支出合计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12,856.70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11,122.20</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b/>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1,734.50</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年初财政拨款结转和结余</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8,037.45</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年末财政拨款结转和结余</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10,221.62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8,952.64</w:t>
            </w: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1,268.98</w:t>
            </w: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一般公共预算财政拨款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5,033.97</w:t>
            </w:r>
          </w:p>
        </w:tc>
        <w:tc>
          <w:tcPr>
            <w:tcW w:w="2908"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w:t>
            </w:r>
          </w:p>
        </w:tc>
        <w:tc>
          <w:tcPr>
            <w:tcW w:w="1470" w:type="dxa"/>
            <w:gridSpan w:val="3"/>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680"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nil"/>
              <w:right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政府性基金预算财政拨款</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c>
          <w:tcPr>
            <w:tcW w:w="1622"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3,003.48</w:t>
            </w:r>
          </w:p>
        </w:tc>
        <w:tc>
          <w:tcPr>
            <w:tcW w:w="2908" w:type="dxa"/>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w:t>
            </w:r>
          </w:p>
        </w:tc>
        <w:tc>
          <w:tcPr>
            <w:tcW w:w="1470" w:type="dxa"/>
            <w:gridSpan w:val="3"/>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1680" w:type="dxa"/>
            <w:tcBorders>
              <w:top w:val="single" w:color="000000" w:sz="4" w:space="0"/>
              <w:left w:val="nil"/>
              <w:bottom w:val="nil"/>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02" w:hRule="atLeast"/>
        </w:trPr>
        <w:tc>
          <w:tcPr>
            <w:tcW w:w="3357" w:type="dxa"/>
            <w:tcBorders>
              <w:top w:val="single" w:color="000000" w:sz="4" w:space="0"/>
              <w:left w:val="single" w:color="000000" w:sz="8"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14</w:t>
            </w:r>
          </w:p>
        </w:tc>
        <w:tc>
          <w:tcPr>
            <w:tcW w:w="1622" w:type="dxa"/>
            <w:gridSpan w:val="2"/>
            <w:tcBorders>
              <w:top w:val="single" w:color="000000" w:sz="4" w:space="0"/>
              <w:left w:val="single" w:color="000000" w:sz="4" w:space="0"/>
              <w:bottom w:val="single" w:color="000000" w:sz="8" w:space="0"/>
              <w:right w:val="single" w:color="000000" w:sz="4" w:space="0"/>
            </w:tcBorders>
            <w:shd w:val="clear" w:color="auto" w:fill="auto"/>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23,078.32</w:t>
            </w:r>
          </w:p>
        </w:tc>
        <w:tc>
          <w:tcPr>
            <w:tcW w:w="2908" w:type="dxa"/>
            <w:tcBorders>
              <w:top w:val="single" w:color="000000" w:sz="4" w:space="0"/>
              <w:left w:val="single" w:color="000000" w:sz="4" w:space="0"/>
              <w:bottom w:val="single" w:color="000000" w:sz="8"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总计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w:t>
            </w:r>
          </w:p>
        </w:tc>
        <w:tc>
          <w:tcPr>
            <w:tcW w:w="1470" w:type="dxa"/>
            <w:gridSpan w:val="3"/>
            <w:tcBorders>
              <w:top w:val="single" w:color="000000" w:sz="4" w:space="0"/>
              <w:left w:val="nil"/>
              <w:bottom w:val="nil"/>
              <w:right w:val="nil"/>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23,078.32</w:t>
            </w:r>
          </w:p>
        </w:tc>
        <w:tc>
          <w:tcPr>
            <w:tcW w:w="122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20,074.84</w:t>
            </w:r>
          </w:p>
        </w:tc>
        <w:tc>
          <w:tcPr>
            <w:tcW w:w="1680"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b/>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3,003.48</w:t>
            </w:r>
          </w:p>
        </w:tc>
      </w:tr>
      <w:tr>
        <w:tblPrEx>
          <w:tblCellMar>
            <w:top w:w="0" w:type="dxa"/>
            <w:left w:w="0" w:type="dxa"/>
            <w:bottom w:w="0" w:type="dxa"/>
            <w:right w:w="0" w:type="dxa"/>
          </w:tblCellMar>
        </w:tblPrEx>
        <w:trPr>
          <w:trHeight w:val="585" w:hRule="atLeast"/>
        </w:trPr>
        <w:tc>
          <w:tcPr>
            <w:tcW w:w="13988" w:type="dxa"/>
            <w:gridSpan w:val="14"/>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726"/>
        <w:gridCol w:w="688"/>
        <w:gridCol w:w="743"/>
        <w:gridCol w:w="2040"/>
        <w:gridCol w:w="2891"/>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43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4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w:t>
            </w:r>
            <w:r>
              <w:rPr>
                <w:rStyle w:val="11"/>
                <w:sz w:val="20"/>
                <w:szCs w:val="20"/>
                <w:highlight w:val="none"/>
                <w:lang w:val="en-US" w:eastAsia="zh-CN" w:bidi="ar"/>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431" w:type="dxa"/>
            <w:gridSpan w:val="2"/>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204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5" w:hRule="atLeast"/>
        </w:trPr>
        <w:tc>
          <w:tcPr>
            <w:tcW w:w="4197"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项 </w:t>
            </w:r>
            <w:r>
              <w:rPr>
                <w:rStyle w:val="16"/>
                <w:sz w:val="20"/>
                <w:szCs w:val="20"/>
                <w:highlight w:val="none"/>
                <w:lang w:val="en-US" w:eastAsia="zh-CN" w:bidi="ar"/>
              </w:rPr>
              <w:t xml:space="preserve">   </w:t>
            </w:r>
            <w:r>
              <w:rPr>
                <w:rStyle w:val="14"/>
                <w:sz w:val="20"/>
                <w:szCs w:val="20"/>
                <w:highlight w:val="none"/>
                <w:lang w:val="en-US" w:eastAsia="zh-CN" w:bidi="ar"/>
              </w:rPr>
              <w:t>目</w:t>
            </w:r>
          </w:p>
        </w:tc>
        <w:tc>
          <w:tcPr>
            <w:tcW w:w="9791"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78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2891"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7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78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89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60" w:hRule="atLeast"/>
        </w:trPr>
        <w:tc>
          <w:tcPr>
            <w:tcW w:w="4197" w:type="dxa"/>
            <w:gridSpan w:val="4"/>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2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290" w:hRule="atLeast"/>
        </w:trPr>
        <w:tc>
          <w:tcPr>
            <w:tcW w:w="4197" w:type="dxa"/>
            <w:gridSpan w:val="4"/>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289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11,122.20</w:t>
            </w:r>
          </w:p>
        </w:tc>
        <w:tc>
          <w:tcPr>
            <w:tcW w:w="34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5,136.44</w:t>
            </w:r>
          </w:p>
        </w:tc>
        <w:tc>
          <w:tcPr>
            <w:tcW w:w="3451" w:type="dxa"/>
            <w:tcBorders>
              <w:top w:val="single" w:color="000000" w:sz="4" w:space="0"/>
              <w:left w:val="single" w:color="000000" w:sz="4" w:space="0"/>
              <w:bottom w:val="single" w:color="auto"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i w:val="0"/>
                <w:snapToGrid/>
                <w:color w:val="000000"/>
                <w:sz w:val="22"/>
                <w:highlight w:val="none"/>
                <w:u w:val="none"/>
                <w:lang w:eastAsia="zh-CN"/>
              </w:rPr>
              <w:t>5,985.76</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其他一般公共服务支出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2019999</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其他一般公共服务支出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1.89</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454.90</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行政事业单位离退休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428.87</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2080501</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归口管理的行政单位离退休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147.81</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2080502</w:t>
            </w:r>
          </w:p>
        </w:tc>
        <w:tc>
          <w:tcPr>
            <w:tcW w:w="278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事业单位离退休</w:t>
            </w:r>
          </w:p>
        </w:tc>
        <w:tc>
          <w:tcPr>
            <w:tcW w:w="28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34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273.01</w:t>
            </w:r>
          </w:p>
        </w:tc>
        <w:tc>
          <w:tcPr>
            <w:tcW w:w="34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2080503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离退休人员管理机构</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8.05</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抚恤</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2080801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死亡抚恤</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26.03</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31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节能环保支出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污染防治</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57.16</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大气</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2.00</w:t>
            </w:r>
          </w:p>
        </w:tc>
      </w:tr>
      <w:tr>
        <w:tblPrEx>
          <w:tblCellMar>
            <w:top w:w="0" w:type="dxa"/>
            <w:left w:w="0" w:type="dxa"/>
            <w:bottom w:w="0" w:type="dxa"/>
            <w:right w:w="0" w:type="dxa"/>
          </w:tblCellMar>
        </w:tblPrEx>
        <w:trPr>
          <w:trHeight w:val="30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2110302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水体</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55.16</w:t>
            </w:r>
          </w:p>
        </w:tc>
      </w:tr>
      <w:tr>
        <w:tblPrEx>
          <w:tblCellMar>
            <w:top w:w="0" w:type="dxa"/>
            <w:left w:w="0" w:type="dxa"/>
            <w:bottom w:w="0" w:type="dxa"/>
            <w:right w:w="0" w:type="dxa"/>
          </w:tblCellMar>
        </w:tblPrEx>
        <w:trPr>
          <w:trHeight w:val="34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614.63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614.63</w:t>
            </w:r>
          </w:p>
        </w:tc>
      </w:tr>
      <w:tr>
        <w:tblPrEx>
          <w:tblCellMar>
            <w:top w:w="0" w:type="dxa"/>
            <w:left w:w="0" w:type="dxa"/>
            <w:bottom w:w="0" w:type="dxa"/>
            <w:right w:w="0" w:type="dxa"/>
          </w:tblCellMar>
        </w:tblPrEx>
        <w:trPr>
          <w:trHeight w:val="39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城乡社区管理事务</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506.63</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2120107</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市政公用行业市场监管</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204.22</w:t>
            </w:r>
          </w:p>
        </w:tc>
      </w:tr>
      <w:tr>
        <w:tblPrEx>
          <w:tblCellMar>
            <w:top w:w="0" w:type="dxa"/>
            <w:left w:w="0" w:type="dxa"/>
            <w:bottom w:w="0" w:type="dxa"/>
            <w:right w:w="0" w:type="dxa"/>
          </w:tblCellMar>
        </w:tblPrEx>
        <w:trPr>
          <w:trHeight w:val="39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2120199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其他城乡社区管理事务支出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302.41</w:t>
            </w:r>
          </w:p>
        </w:tc>
      </w:tr>
      <w:tr>
        <w:tblPrEx>
          <w:tblCellMar>
            <w:top w:w="0" w:type="dxa"/>
            <w:left w:w="0" w:type="dxa"/>
            <w:bottom w:w="0" w:type="dxa"/>
            <w:right w:w="0" w:type="dxa"/>
          </w:tblCellMar>
        </w:tblPrEx>
        <w:trPr>
          <w:trHeight w:val="36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2129999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其他城乡社区支出</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0.00</w:t>
            </w:r>
          </w:p>
        </w:tc>
        <w:tc>
          <w:tcPr>
            <w:tcW w:w="3451" w:type="dxa"/>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righ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108.00</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9,995.82</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4,681.84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5,313.97</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农业</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2130104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事业运行</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10.08</w:t>
            </w:r>
          </w:p>
        </w:tc>
      </w:tr>
      <w:tr>
        <w:tblPrEx>
          <w:tblCellMar>
            <w:top w:w="0" w:type="dxa"/>
            <w:left w:w="0" w:type="dxa"/>
            <w:bottom w:w="0" w:type="dxa"/>
            <w:right w:w="0" w:type="dxa"/>
          </w:tblCellMar>
        </w:tblPrEx>
        <w:trPr>
          <w:trHeight w:val="27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水利</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9,765.20</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4,681.84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5,083.36</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行政运行</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716.08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716.08</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r>
      <w:tr>
        <w:tblPrEx>
          <w:tblCellMar>
            <w:top w:w="0" w:type="dxa"/>
            <w:left w:w="0" w:type="dxa"/>
            <w:bottom w:w="0" w:type="dxa"/>
            <w:right w:w="0" w:type="dxa"/>
          </w:tblCellMar>
        </w:tblPrEx>
        <w:trPr>
          <w:trHeight w:val="34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2130302</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一般行政管理事务</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2,740.78</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2,740.78</w:t>
            </w:r>
          </w:p>
        </w:tc>
      </w:tr>
      <w:tr>
        <w:tblPrEx>
          <w:tblCellMar>
            <w:top w:w="0" w:type="dxa"/>
            <w:left w:w="0" w:type="dxa"/>
            <w:bottom w:w="0" w:type="dxa"/>
            <w:right w:w="0" w:type="dxa"/>
          </w:tblCellMar>
        </w:tblPrEx>
        <w:trPr>
          <w:trHeight w:val="35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水利行业业务管理</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4,255.15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3,285.04</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970.10</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2130305</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水利工程建设</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912.16</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912.16</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2130310</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水土保持</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25.92</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25.92</w:t>
            </w:r>
          </w:p>
        </w:tc>
      </w:tr>
      <w:tr>
        <w:tblPrEx>
          <w:tblCellMar>
            <w:top w:w="0" w:type="dxa"/>
            <w:left w:w="0" w:type="dxa"/>
            <w:bottom w:w="0" w:type="dxa"/>
            <w:right w:w="0" w:type="dxa"/>
          </w:tblCellMar>
        </w:tblPrEx>
        <w:trPr>
          <w:trHeight w:val="41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2130311</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水资源节约管理与保护</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772.00</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680.72</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91.28</w:t>
            </w:r>
          </w:p>
        </w:tc>
      </w:tr>
      <w:tr>
        <w:tblPrEx>
          <w:tblCellMar>
            <w:top w:w="0" w:type="dxa"/>
            <w:left w:w="0" w:type="dxa"/>
            <w:bottom w:w="0" w:type="dxa"/>
            <w:right w:w="0" w:type="dxa"/>
          </w:tblCellMar>
        </w:tblPrEx>
        <w:trPr>
          <w:trHeight w:val="32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2130314</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防汛</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22.45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22.45</w:t>
            </w:r>
          </w:p>
        </w:tc>
      </w:tr>
      <w:tr>
        <w:tblPrEx>
          <w:tblCellMar>
            <w:top w:w="0" w:type="dxa"/>
            <w:left w:w="0" w:type="dxa"/>
            <w:bottom w:w="0" w:type="dxa"/>
            <w:right w:w="0" w:type="dxa"/>
          </w:tblCellMar>
        </w:tblPrEx>
        <w:trPr>
          <w:trHeight w:val="9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2130316</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农田水利</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77.91</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77.91</w:t>
            </w:r>
          </w:p>
        </w:tc>
      </w:tr>
      <w:tr>
        <w:tblPrEx>
          <w:tblCellMar>
            <w:top w:w="0" w:type="dxa"/>
            <w:left w:w="0" w:type="dxa"/>
            <w:bottom w:w="0" w:type="dxa"/>
            <w:right w:w="0" w:type="dxa"/>
          </w:tblCellMar>
        </w:tblPrEx>
        <w:trPr>
          <w:trHeight w:val="380"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2130399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其他水利支出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242.75</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242.75</w:t>
            </w:r>
          </w:p>
        </w:tc>
      </w:tr>
      <w:tr>
        <w:tblPrEx>
          <w:tblCellMar>
            <w:top w:w="0" w:type="dxa"/>
            <w:left w:w="0" w:type="dxa"/>
            <w:bottom w:w="0" w:type="dxa"/>
            <w:right w:w="0" w:type="dxa"/>
          </w:tblCellMar>
        </w:tblPrEx>
        <w:trPr>
          <w:trHeight w:val="33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其他农林水支出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r>
      <w:tr>
        <w:tblPrEx>
          <w:tblCellMar>
            <w:top w:w="0" w:type="dxa"/>
            <w:left w:w="0" w:type="dxa"/>
            <w:bottom w:w="0" w:type="dxa"/>
            <w:right w:w="0" w:type="dxa"/>
          </w:tblCellMar>
        </w:tblPrEx>
        <w:trPr>
          <w:trHeight w:val="315" w:hRule="atLeast"/>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2139999</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insoku/>
              <w:autoSpaceDE/>
              <w:autoSpaceDN w:val="0"/>
              <w:jc w:val="left"/>
              <w:textAlignment w:val="center"/>
              <w:rPr>
                <w:sz w:val="20"/>
                <w:szCs w:val="20"/>
                <w:highlight w:val="none"/>
              </w:rPr>
            </w:pPr>
            <w:r>
              <w:rPr>
                <w:rFonts w:hint="default" w:ascii="宋体" w:hAnsi="宋体" w:eastAsia="宋体"/>
                <w:b w:val="0"/>
                <w:i w:val="0"/>
                <w:snapToGrid/>
                <w:color w:val="000000"/>
                <w:sz w:val="20"/>
                <w:szCs w:val="20"/>
                <w:highlight w:val="none"/>
                <w:u w:val="none"/>
                <w:lang w:eastAsia="zh-CN"/>
              </w:rPr>
              <w:t xml:space="preserve">  其他农林水支出</w:t>
            </w:r>
          </w:p>
        </w:tc>
        <w:tc>
          <w:tcPr>
            <w:tcW w:w="289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c>
          <w:tcPr>
            <w:tcW w:w="3449"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0.00</w:t>
            </w:r>
          </w:p>
        </w:tc>
        <w:tc>
          <w:tcPr>
            <w:tcW w:w="3451" w:type="dxa"/>
            <w:tcBorders>
              <w:top w:val="single" w:color="auto" w:sz="4" w:space="0"/>
              <w:left w:val="single" w:color="auto" w:sz="4" w:space="0"/>
              <w:bottom w:val="single" w:color="auto" w:sz="4" w:space="0"/>
              <w:right w:val="single" w:color="auto" w:sz="4" w:space="0"/>
            </w:tcBorders>
            <w:noWrap w:val="0"/>
            <w:vAlign w:val="top"/>
          </w:tcPr>
          <w:p>
            <w:pPr>
              <w:spacing w:before="0" w:beforeLines="0"/>
              <w:jc w:val="right"/>
              <w:rPr>
                <w:sz w:val="18"/>
                <w:szCs w:val="18"/>
                <w:highlight w:val="none"/>
              </w:rPr>
            </w:pPr>
            <w:r>
              <w:rPr>
                <w:rFonts w:hint="default" w:ascii="ËÎÌå" w:hAnsi="ËÎÌå" w:eastAsia="ËÎÌå"/>
                <w:color w:val="000000"/>
                <w:sz w:val="18"/>
                <w:szCs w:val="18"/>
                <w:highlight w:val="none"/>
              </w:rPr>
              <w:t>220.53</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部门：</w:t>
            </w:r>
          </w:p>
        </w:tc>
        <w:tc>
          <w:tcPr>
            <w:tcW w:w="2923" w:type="dxa"/>
            <w:tcBorders>
              <w:top w:val="nil"/>
              <w:left w:val="nil"/>
              <w:bottom w:val="nil"/>
              <w:right w:val="nil"/>
            </w:tcBorders>
            <w:noWrap w:val="0"/>
            <w:tcMar>
              <w:top w:w="15" w:type="dxa"/>
              <w:left w:w="15" w:type="dxa"/>
              <w:right w:w="15" w:type="dxa"/>
            </w:tcMar>
            <w:vAlign w:val="center"/>
          </w:tcPr>
          <w:p>
            <w:pPr>
              <w:rPr>
                <w:rFonts w:hint="eastAsia" w:ascii="Arial" w:hAnsi="Arial" w:eastAsia="宋体" w:cs="Arial"/>
                <w:i w:val="0"/>
                <w:color w:val="000000"/>
                <w:sz w:val="20"/>
                <w:szCs w:val="20"/>
                <w:highlight w:val="none"/>
                <w:u w:val="none"/>
                <w:lang w:eastAsia="zh-CN"/>
              </w:rPr>
            </w:pPr>
            <w:r>
              <w:rPr>
                <w:rFonts w:hint="eastAsia" w:ascii="Arial" w:hAnsi="Arial" w:eastAsia="宋体" w:cs="Arial"/>
                <w:i w:val="0"/>
                <w:color w:val="000000"/>
                <w:sz w:val="20"/>
                <w:szCs w:val="20"/>
                <w:highlight w:val="none"/>
                <w:u w:val="none"/>
                <w:lang w:eastAsia="zh-CN"/>
              </w:rPr>
              <w:t>许昌市水务局</w:t>
            </w:r>
          </w:p>
        </w:tc>
        <w:tc>
          <w:tcPr>
            <w:tcW w:w="938"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870"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2066"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938"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870"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3575"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93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4294.79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176.39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1317.57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32.29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623.21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0.15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788.65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3.83</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0.24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587.23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0.48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3.17</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356.42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0.92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0.65</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28.30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7.71</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118.40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9.05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31009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17.52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30209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11.38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31010</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16.83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10.92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258.69</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30114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30199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181.96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31019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661.43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31021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30301</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22.03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4.28</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31022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30302</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119.33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0.12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31099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30303</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30218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30304</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36.43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31201</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30305</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155.83</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30225</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30306</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30226</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31204</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30307</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0.37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31205</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30308</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30228</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20.62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31299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30309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327.64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30229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36.46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30310</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30231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19.32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31302</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30399</w:t>
            </w: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16.62</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31303</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30240</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30299</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0.96</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39906</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39907</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30701</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39908</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30702</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39999</w:t>
            </w: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30703</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30704</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3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highlight w:val="none"/>
                <w:u w:val="none"/>
              </w:rPr>
            </w:pPr>
          </w:p>
        </w:tc>
        <w:tc>
          <w:tcPr>
            <w:tcW w:w="9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 xml:space="preserve"> 4956.22</w:t>
            </w:r>
          </w:p>
        </w:tc>
        <w:tc>
          <w:tcPr>
            <w:tcW w:w="8319"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b w:val="0"/>
                <w:i w:val="0"/>
                <w:snapToGrid/>
                <w:color w:val="000000"/>
                <w:sz w:val="20"/>
                <w:szCs w:val="20"/>
                <w:highlight w:val="none"/>
                <w:u w:val="none"/>
                <w:lang w:val="en-US" w:eastAsia="zh-CN"/>
              </w:rPr>
              <w:t xml:space="preserve">  180.22</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807" w:type="dxa"/>
        <w:tblInd w:w="0" w:type="dxa"/>
        <w:tblLayout w:type="fixed"/>
        <w:tblCellMar>
          <w:top w:w="0" w:type="dxa"/>
          <w:left w:w="0" w:type="dxa"/>
          <w:bottom w:w="0" w:type="dxa"/>
          <w:right w:w="0" w:type="dxa"/>
        </w:tblCellMar>
      </w:tblPr>
      <w:tblGrid>
        <w:gridCol w:w="870"/>
        <w:gridCol w:w="28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一般公共预算财政拨款“三公”经费支出决算表</w:t>
            </w:r>
          </w:p>
        </w:tc>
      </w:tr>
      <w:tr>
        <w:tblPrEx>
          <w:tblCellMar>
            <w:top w:w="0" w:type="dxa"/>
            <w:left w:w="0" w:type="dxa"/>
            <w:bottom w:w="0" w:type="dxa"/>
            <w:right w:w="0" w:type="dxa"/>
          </w:tblCellMar>
        </w:tblPrEx>
        <w:trPr>
          <w:trHeight w:val="222"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430"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430"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559" w:hRule="atLeast"/>
        </w:trPr>
        <w:tc>
          <w:tcPr>
            <w:tcW w:w="6901" w:type="dxa"/>
            <w:gridSpan w:val="7"/>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CellMar>
            <w:top w:w="0" w:type="dxa"/>
            <w:left w:w="0" w:type="dxa"/>
            <w:bottom w:w="0" w:type="dxa"/>
            <w:right w:w="0" w:type="dxa"/>
          </w:tblCellMar>
        </w:tblPrEx>
        <w:trPr>
          <w:trHeight w:val="600" w:hRule="atLeast"/>
        </w:trPr>
        <w:tc>
          <w:tcPr>
            <w:tcW w:w="1151"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r>
      <w:tr>
        <w:tblPrEx>
          <w:tblCellMar>
            <w:top w:w="0" w:type="dxa"/>
            <w:left w:w="0" w:type="dxa"/>
            <w:bottom w:w="0" w:type="dxa"/>
            <w:right w:w="0" w:type="dxa"/>
          </w:tblCellMar>
        </w:tblPrEx>
        <w:trPr>
          <w:trHeight w:val="600" w:hRule="atLeast"/>
        </w:trPr>
        <w:tc>
          <w:tcPr>
            <w:tcW w:w="1151"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59" w:hRule="atLeast"/>
        </w:trPr>
        <w:tc>
          <w:tcPr>
            <w:tcW w:w="1151"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r>
      <w:tr>
        <w:tblPrEx>
          <w:tblCellMar>
            <w:top w:w="0" w:type="dxa"/>
            <w:left w:w="0" w:type="dxa"/>
            <w:bottom w:w="0" w:type="dxa"/>
            <w:right w:w="0" w:type="dxa"/>
          </w:tblCellMar>
        </w:tblPrEx>
        <w:trPr>
          <w:trHeight w:val="855" w:hRule="atLeast"/>
        </w:trPr>
        <w:tc>
          <w:tcPr>
            <w:tcW w:w="1151"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38.72</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36.00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36.00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2.72</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42.83</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42.71</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0.00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42.71</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val="0"/>
              <w:suppressLineNumbers w:val="0"/>
              <w:autoSpaceDE/>
              <w:autoSpaceDN w:val="0"/>
              <w:spacing w:before="0" w:beforeLines="0" w:beforeAutospacing="0" w:after="0" w:afterLines="0" w:afterAutospacing="0"/>
              <w:ind w:left="0" w:leftChars="0" w:right="0" w:rightChars="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val="0"/>
                <w:i w:val="0"/>
                <w:color w:val="000000"/>
                <w:kern w:val="2"/>
                <w:sz w:val="20"/>
                <w:szCs w:val="20"/>
                <w:highlight w:val="none"/>
                <w:lang w:val="en-US" w:eastAsia="zh-CN" w:bidi="ar"/>
              </w:rPr>
              <w:t>0.12</w:t>
            </w:r>
          </w:p>
        </w:tc>
      </w:tr>
      <w:tr>
        <w:tblPrEx>
          <w:tblCellMar>
            <w:top w:w="0" w:type="dxa"/>
            <w:left w:w="0" w:type="dxa"/>
            <w:bottom w:w="0" w:type="dxa"/>
            <w:right w:w="0" w:type="dxa"/>
          </w:tblCellMar>
        </w:tblPrEx>
        <w:trPr>
          <w:trHeight w:val="900" w:hRule="atLeast"/>
        </w:trPr>
        <w:tc>
          <w:tcPr>
            <w:tcW w:w="13807" w:type="dxa"/>
            <w:gridSpan w:val="13"/>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注：本表反映部门本年度“三公”经费支出预决算情况。其中，</w:t>
            </w:r>
            <w:r>
              <w:rPr>
                <w:rStyle w:val="12"/>
                <w:sz w:val="20"/>
                <w:szCs w:val="20"/>
                <w:highlight w:val="none"/>
                <w:lang w:val="en-US" w:eastAsia="zh-CN" w:bidi="ar"/>
              </w:rPr>
              <w:t>预算数为“三公”经费年初预算数，决算数是包括当年一般公共预算财政拨款和以前年度结转资金安排的实际支出。</w:t>
            </w:r>
            <w:r>
              <w:rPr>
                <w:rFonts w:hint="eastAsia" w:ascii="宋体" w:hAnsi="宋体" w:eastAsia="宋体" w:cs="宋体"/>
                <w:i w:val="0"/>
                <w:color w:val="000000"/>
                <w:kern w:val="0"/>
                <w:sz w:val="20"/>
                <w:szCs w:val="20"/>
                <w:highlight w:val="none"/>
                <w:u w:val="none"/>
                <w:lang w:val="en-US" w:eastAsia="zh-CN" w:bidi="ar"/>
              </w:rPr>
              <w:t>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i w:val="0"/>
          <w:color w:val="000000"/>
          <w:kern w:val="0"/>
          <w:sz w:val="20"/>
          <w:szCs w:val="20"/>
          <w:highlight w:val="none"/>
          <w:u w:val="none"/>
          <w:lang w:val="en-US" w:eastAsia="zh-CN" w:bidi="ar"/>
        </w:rPr>
        <w:t>说明：2018年决算系统中预算数统计有误，2018年三公经费年初预算数为40.90万元，其中公务用车运行费36万元，公务接待费4.9万元。</w:t>
      </w:r>
    </w:p>
    <w:tbl>
      <w:tblPr>
        <w:tblStyle w:val="5"/>
        <w:tblW w:w="13988" w:type="dxa"/>
        <w:tblInd w:w="0" w:type="dxa"/>
        <w:tblLayout w:type="fixed"/>
        <w:tblCellMar>
          <w:top w:w="0" w:type="dxa"/>
          <w:left w:w="0" w:type="dxa"/>
          <w:bottom w:w="0" w:type="dxa"/>
          <w:right w:w="0" w:type="dxa"/>
        </w:tblCellMar>
      </w:tblPr>
      <w:tblGrid>
        <w:gridCol w:w="612"/>
        <w:gridCol w:w="536"/>
        <w:gridCol w:w="3094"/>
        <w:gridCol w:w="1575"/>
        <w:gridCol w:w="1305"/>
        <w:gridCol w:w="1080"/>
        <w:gridCol w:w="450"/>
        <w:gridCol w:w="1477"/>
        <w:gridCol w:w="578"/>
        <w:gridCol w:w="1710"/>
        <w:gridCol w:w="1571"/>
      </w:tblGrid>
      <w:tr>
        <w:tblPrEx>
          <w:tblCellMar>
            <w:top w:w="0" w:type="dxa"/>
            <w:left w:w="0" w:type="dxa"/>
            <w:bottom w:w="0" w:type="dxa"/>
            <w:right w:w="0" w:type="dxa"/>
          </w:tblCellMar>
        </w:tblPrEx>
        <w:trPr>
          <w:trHeight w:val="600" w:hRule="atLeast"/>
        </w:trPr>
        <w:tc>
          <w:tcPr>
            <w:tcW w:w="13988" w:type="dxa"/>
            <w:gridSpan w:val="11"/>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30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8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288"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57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tcBorders>
              <w:top w:val="nil"/>
              <w:left w:val="nil"/>
              <w:bottom w:val="nil"/>
              <w:right w:val="nil"/>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eastAsia="zh-CN"/>
              </w:rPr>
              <w:t>许昌市水务局</w:t>
            </w:r>
          </w:p>
        </w:tc>
        <w:tc>
          <w:tcPr>
            <w:tcW w:w="1575"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305"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8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288"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57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CellMar>
            <w:top w:w="0" w:type="dxa"/>
            <w:left w:w="0" w:type="dxa"/>
            <w:bottom w:w="0" w:type="dxa"/>
            <w:right w:w="0" w:type="dxa"/>
          </w:tblCellMar>
        </w:tblPrEx>
        <w:trPr>
          <w:trHeight w:val="405" w:hRule="atLeast"/>
        </w:trPr>
        <w:tc>
          <w:tcPr>
            <w:tcW w:w="4242"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575"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年初结转和结余</w:t>
            </w:r>
          </w:p>
        </w:tc>
        <w:tc>
          <w:tcPr>
            <w:tcW w:w="130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本年收入</w:t>
            </w:r>
          </w:p>
        </w:tc>
        <w:tc>
          <w:tcPr>
            <w:tcW w:w="5295" w:type="dxa"/>
            <w:gridSpan w:val="5"/>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w:t>
            </w:r>
          </w:p>
        </w:tc>
        <w:tc>
          <w:tcPr>
            <w:tcW w:w="1571"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30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2055"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1710"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55"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1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12"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0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5"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055"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710"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571"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50" w:hRule="atLeast"/>
        </w:trPr>
        <w:tc>
          <w:tcPr>
            <w:tcW w:w="4242"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50" w:hRule="atLeast"/>
        </w:trPr>
        <w:tc>
          <w:tcPr>
            <w:tcW w:w="4242"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3,003.48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1,734.50</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1,734.50</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top"/>
          </w:tcPr>
          <w:p>
            <w:pPr>
              <w:spacing w:before="0" w:beforeLines="0"/>
              <w:jc w:val="right"/>
              <w:rPr>
                <w:rFonts w:hint="eastAsia" w:ascii="宋体" w:hAnsi="宋体" w:eastAsia="宋体" w:cs="宋体"/>
                <w:i w:val="0"/>
                <w:color w:val="000000"/>
                <w:sz w:val="20"/>
                <w:szCs w:val="20"/>
                <w:highlight w:val="none"/>
                <w:u w:val="none"/>
              </w:rPr>
            </w:pPr>
            <w:r>
              <w:rPr>
                <w:rFonts w:hint="default" w:ascii="ËÎÌå" w:hAnsi="ËÎÌå" w:eastAsia="ËÎÌå"/>
                <w:b/>
                <w:color w:val="000000"/>
                <w:sz w:val="22"/>
                <w:highlight w:val="none"/>
              </w:rPr>
              <w:t>1,268.98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社会保障和就业支出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大中型水库移民后期扶持基金支出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2082299</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其他大中型水库移民后期扶持基金支出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8.00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2.32</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5.68</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城乡社区支出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w:t>
            </w:r>
          </w:p>
        </w:tc>
        <w:tc>
          <w:tcPr>
            <w:tcW w:w="3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国有土地使用权出让收入及对应专项债务收入安排的支出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2120899</w:t>
            </w:r>
          </w:p>
        </w:tc>
        <w:tc>
          <w:tcPr>
            <w:tcW w:w="309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lef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 xml:space="preserve">  其他国有土地使用权出让收入安排的支出</w:t>
            </w:r>
          </w:p>
        </w:tc>
        <w:tc>
          <w:tcPr>
            <w:tcW w:w="15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2,995.48</w:t>
            </w:r>
          </w:p>
        </w:tc>
        <w:tc>
          <w:tcPr>
            <w:tcW w:w="130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53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205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0.00</w:t>
            </w:r>
          </w:p>
        </w:tc>
        <w:tc>
          <w:tcPr>
            <w:tcW w:w="1710"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1,732.18</w:t>
            </w:r>
          </w:p>
        </w:tc>
        <w:tc>
          <w:tcPr>
            <w:tcW w:w="157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insoku/>
              <w:autoSpaceDE/>
              <w:autoSpaceDN w:val="0"/>
              <w:jc w:val="right"/>
              <w:textAlignment w:val="center"/>
              <w:rPr>
                <w:rFonts w:hint="eastAsia" w:ascii="宋体" w:hAnsi="宋体" w:eastAsia="宋体" w:cs="宋体"/>
                <w:i w:val="0"/>
                <w:color w:val="000000"/>
                <w:sz w:val="20"/>
                <w:szCs w:val="20"/>
                <w:highlight w:val="none"/>
                <w:u w:val="none"/>
              </w:rPr>
            </w:pPr>
            <w:r>
              <w:rPr>
                <w:rFonts w:hint="default" w:ascii="宋体" w:hAnsi="宋体" w:eastAsia="宋体"/>
                <w:b w:val="0"/>
                <w:i w:val="0"/>
                <w:snapToGrid/>
                <w:color w:val="000000"/>
                <w:sz w:val="20"/>
                <w:szCs w:val="20"/>
                <w:highlight w:val="none"/>
                <w:u w:val="none"/>
                <w:lang w:eastAsia="zh-CN"/>
              </w:rPr>
              <w:t>1,263.30</w:t>
            </w:r>
          </w:p>
        </w:tc>
      </w:tr>
      <w:tr>
        <w:tblPrEx>
          <w:tblCellMar>
            <w:top w:w="0" w:type="dxa"/>
            <w:left w:w="0" w:type="dxa"/>
            <w:bottom w:w="0" w:type="dxa"/>
            <w:right w:w="0" w:type="dxa"/>
          </w:tblCellMar>
        </w:tblPrEx>
        <w:trPr>
          <w:trHeight w:val="645" w:hRule="atLeast"/>
        </w:trPr>
        <w:tc>
          <w:tcPr>
            <w:tcW w:w="13988" w:type="dxa"/>
            <w:gridSpan w:val="11"/>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注：本表反映部门本年度政府性基金预算财政拨款收入、支出及结转和结余情况。</w:t>
            </w:r>
          </w:p>
        </w:tc>
      </w:tr>
    </w:tbl>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2018年度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2018年度收、支总计均为24981.21万元。与上年度相比，收、支总计各增加4553.63万元，增长22.29%。主要原因是许昌市颍汝灌溉管理局新增基建项目。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2018年度收入合计15273.04万元，其中：财政拨款收入15040.87万元，占98.47%；经营收入183.17万元，占1.19%；其他收入49万元，占0.34%。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2018年度支出合计13648.13万元，其中：基本支出5482.45万元，占40.16%；项目支出7905.29万元，占57.92%；经营支出260.40万元，占1.9%。</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2018年度财政拨款收、支总计均为23078.32万元。与上年度相比，财政拨款收、支总计各增加4852.97万元，增长26.62%。主要原因是许昌市颍汝灌溉管理局新增基建项目。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2018年度一般公共预算财政拨款支出11122.20万元，占本年支出合计的81.49%。与上年度相比，一般公共预算财政拨款支出增加2358.4万元，增长26.91%。主要原因是许昌市颍汝灌溉管理局新增基建项目。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11122.20万元，主要用于以下方面：一般公共服务（类）支出1.89万元，占0.02%；社会保障和就业（类）支出452.7万元，占4.07%；节能环保（类）支出57.16万元，占0.51%；城乡社区（类）支出614.63万元，占5.53%；农林水（类）支出9995.82万元，占89.87%。</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2018年度一般公共预算财政拨款支出年初预算为5653.57万元，支出决算为11122.20万元，完成年初预算的196.72%。其中：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1.一般公共服务支出（类）其他一般公共服务支出（款）其他一般公共服务支出（项）。</w:t>
      </w:r>
      <w:r>
        <w:rPr>
          <w:rFonts w:hint="eastAsia" w:ascii="仿宋_GB2312" w:hAnsi="仿宋_GB2312" w:eastAsia="仿宋_GB2312" w:cs="仿宋_GB2312"/>
          <w:b w:val="0"/>
          <w:bCs w:val="0"/>
          <w:color w:val="auto"/>
          <w:sz w:val="32"/>
          <w:szCs w:val="32"/>
          <w:highlight w:val="none"/>
          <w:lang w:val="en-US" w:eastAsia="zh-CN"/>
        </w:rPr>
        <w:t>年初预算为0万元，支出决算为1.89万元。决算数与年初预算数存在差异的主要原因是市节水办追加安置后未上岗志愿兵困难帮扶资金。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2.社会保障和就业支出（类）行政事业单位离退休（款）归口管理的行政单位离退休（项）。</w:t>
      </w:r>
      <w:r>
        <w:rPr>
          <w:rFonts w:hint="eastAsia" w:ascii="仿宋_GB2312" w:hAnsi="仿宋_GB2312" w:eastAsia="仿宋_GB2312" w:cs="仿宋_GB2312"/>
          <w:b w:val="0"/>
          <w:bCs w:val="0"/>
          <w:color w:val="auto"/>
          <w:sz w:val="32"/>
          <w:szCs w:val="32"/>
          <w:highlight w:val="none"/>
          <w:lang w:val="en-US" w:eastAsia="zh-CN"/>
        </w:rPr>
        <w:t>年初预算为154.16万元，支出决算为147.81万元，完成年初预算的95.88%。决算数与年初预算数差异的原因是结转下年拨付。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3.社会保障和就业支出（类）行政事业单位离退休（款）事业单位离退休（项）。</w:t>
      </w:r>
      <w:r>
        <w:rPr>
          <w:rFonts w:hint="eastAsia" w:ascii="仿宋_GB2312" w:hAnsi="仿宋_GB2312" w:eastAsia="仿宋_GB2312" w:cs="仿宋_GB2312"/>
          <w:b w:val="0"/>
          <w:bCs w:val="0"/>
          <w:color w:val="auto"/>
          <w:sz w:val="32"/>
          <w:szCs w:val="32"/>
          <w:highlight w:val="none"/>
          <w:lang w:val="en-US" w:eastAsia="zh-CN"/>
        </w:rPr>
        <w:t>年初预算为274.18万元，支出决算为270.81万元，完成年初预算的98.77%。决算数与年初预算数差异的原因是离退休人员有去世。</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4.社会保障和就业支出（类）行政事业单位离退休（款）离退休人员管理机构（项）。</w:t>
      </w:r>
      <w:r>
        <w:rPr>
          <w:rFonts w:hint="eastAsia" w:ascii="仿宋_GB2312" w:hAnsi="仿宋_GB2312" w:eastAsia="仿宋_GB2312" w:cs="仿宋_GB2312"/>
          <w:b w:val="0"/>
          <w:bCs w:val="0"/>
          <w:color w:val="auto"/>
          <w:sz w:val="32"/>
          <w:szCs w:val="32"/>
          <w:highlight w:val="none"/>
          <w:lang w:val="en-US" w:eastAsia="zh-CN"/>
        </w:rPr>
        <w:t>年初预算为2.88万元，支出决算为8.05万元,完成年初预算的279.51%。决算数与年初预算数存在差异的主要原因是市颍汝灌溉管理局其他人员经费调整为抚恤金支出。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5.社会保障和就业支出（类）抚恤（款）死亡抚恤（项）。</w:t>
      </w:r>
      <w:r>
        <w:rPr>
          <w:rFonts w:hint="eastAsia" w:ascii="仿宋_GB2312" w:hAnsi="仿宋_GB2312" w:eastAsia="仿宋_GB2312" w:cs="仿宋_GB2312"/>
          <w:b w:val="0"/>
          <w:bCs w:val="0"/>
          <w:color w:val="auto"/>
          <w:sz w:val="32"/>
          <w:szCs w:val="32"/>
          <w:highlight w:val="none"/>
          <w:lang w:val="en-US" w:eastAsia="zh-CN"/>
        </w:rPr>
        <w:t>年初预算为0万元，支出决算为26.03万元。决算数与年初预算数存在差异的主要原因是抚恤金为当年申请当年支付。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6.节能环保支出（类）污染防治（款）大气（项）。</w:t>
      </w:r>
      <w:r>
        <w:rPr>
          <w:rFonts w:hint="eastAsia" w:ascii="仿宋_GB2312" w:hAnsi="仿宋_GB2312" w:eastAsia="仿宋_GB2312" w:cs="仿宋_GB2312"/>
          <w:b w:val="0"/>
          <w:bCs w:val="0"/>
          <w:color w:val="auto"/>
          <w:sz w:val="32"/>
          <w:szCs w:val="32"/>
          <w:highlight w:val="none"/>
          <w:lang w:val="en-US" w:eastAsia="zh-CN"/>
        </w:rPr>
        <w:t>年初预算为0万元，支出决算为2万元。决算数与年初预算数存在差异的主要原因是为省级下达资金。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7.节能环保支出（类）污染防治（款）水体（项）。</w:t>
      </w:r>
      <w:r>
        <w:rPr>
          <w:rFonts w:hint="eastAsia" w:ascii="仿宋_GB2312" w:hAnsi="仿宋_GB2312" w:eastAsia="仿宋_GB2312" w:cs="仿宋_GB2312"/>
          <w:b w:val="0"/>
          <w:bCs w:val="0"/>
          <w:color w:val="auto"/>
          <w:sz w:val="32"/>
          <w:szCs w:val="32"/>
          <w:highlight w:val="none"/>
          <w:lang w:val="en-US" w:eastAsia="zh-CN"/>
        </w:rPr>
        <w:t>年初预算为0万元，支出决算为55.16万元。决算数与年初预算数存在差异的主要原因是为省级下达资金。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8.城乡社区支出（类）城乡社区管理事务（款）市政公用行业市场监管（项）。</w:t>
      </w:r>
      <w:r>
        <w:rPr>
          <w:rFonts w:hint="eastAsia" w:ascii="仿宋_GB2312" w:hAnsi="仿宋_GB2312" w:eastAsia="仿宋_GB2312" w:cs="仿宋_GB2312"/>
          <w:b w:val="0"/>
          <w:bCs w:val="0"/>
          <w:color w:val="auto"/>
          <w:sz w:val="32"/>
          <w:szCs w:val="32"/>
          <w:highlight w:val="none"/>
          <w:lang w:val="en-US" w:eastAsia="zh-CN"/>
        </w:rPr>
        <w:t>年初预算为136.8万元，支出决算为204.22万元，完成年初预算的149.28%。决算数与年初预算数存在差异的主要原因是许昌市供排水监管中心1、是使用年初结余资金；2、每年市政排水特许作业费未安排在年初预算。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9.城乡社区支出（类）城乡社区公共设施（款）其他城乡社区公共设施指出（项）。</w:t>
      </w:r>
      <w:r>
        <w:rPr>
          <w:rFonts w:hint="eastAsia" w:ascii="仿宋_GB2312" w:hAnsi="仿宋_GB2312" w:eastAsia="仿宋_GB2312" w:cs="仿宋_GB2312"/>
          <w:b w:val="0"/>
          <w:bCs w:val="0"/>
          <w:color w:val="auto"/>
          <w:sz w:val="32"/>
          <w:szCs w:val="32"/>
          <w:highlight w:val="none"/>
          <w:lang w:val="en-US" w:eastAsia="zh-CN"/>
        </w:rPr>
        <w:t>年初预算为0万元，支出决算为302.41万元，完成年初预算的100%。决算数与年初预算数存在差异的主要原因是每年市政排水特许作业费未安排在部门年初预算。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10．城乡社区支出（类）城乡社区管理事务（款）其它城乡社区管理事务支出（项)。</w:t>
      </w:r>
      <w:r>
        <w:rPr>
          <w:rFonts w:hint="eastAsia" w:ascii="仿宋_GB2312" w:hAnsi="仿宋_GB2312" w:eastAsia="仿宋_GB2312" w:cs="仿宋_GB2312"/>
          <w:b w:val="0"/>
          <w:bCs w:val="0"/>
          <w:color w:val="auto"/>
          <w:sz w:val="32"/>
          <w:szCs w:val="32"/>
          <w:highlight w:val="none"/>
          <w:lang w:val="en-US" w:eastAsia="zh-CN"/>
        </w:rPr>
        <w:t>年初预算为0万元，支出决算为108万元。决算数与年初预算数存在差异的主要原因为市供排水监管中心支出市政排水特许作业费未纳入年初部门预算。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11.农林水支出（类）农业（款）事业运行（项）。</w:t>
      </w:r>
      <w:r>
        <w:rPr>
          <w:rFonts w:hint="eastAsia" w:ascii="仿宋_GB2312" w:hAnsi="仿宋_GB2312" w:eastAsia="仿宋_GB2312" w:cs="仿宋_GB2312"/>
          <w:b w:val="0"/>
          <w:bCs w:val="0"/>
          <w:color w:val="auto"/>
          <w:sz w:val="32"/>
          <w:szCs w:val="32"/>
          <w:highlight w:val="none"/>
          <w:lang w:val="en-US" w:eastAsia="zh-CN"/>
        </w:rPr>
        <w:t>年初预算为0万元，支出决算为10.08万元。决算数与年初预算数存在差异的主要原因是年初安排2016年华佗路北立交积水点改造尾款支出。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12.农林水支出（类）水利（款）行政运行（项）。</w:t>
      </w:r>
      <w:r>
        <w:rPr>
          <w:rFonts w:hint="eastAsia" w:ascii="仿宋_GB2312" w:hAnsi="仿宋_GB2312" w:eastAsia="仿宋_GB2312" w:cs="仿宋_GB2312"/>
          <w:b w:val="0"/>
          <w:bCs w:val="0"/>
          <w:color w:val="auto"/>
          <w:sz w:val="32"/>
          <w:szCs w:val="32"/>
          <w:highlight w:val="none"/>
          <w:lang w:val="en-US" w:eastAsia="zh-CN"/>
        </w:rPr>
        <w:t>年初预算为699.50，支出决算为716.08万元，完成年初预算的102.37%。决算数与年初预算数存在差异的主要原因是使用结余资金支付。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13．农林水支出（类）水利（款）一般行政管理事务（项）。</w:t>
      </w:r>
      <w:r>
        <w:rPr>
          <w:rFonts w:hint="eastAsia" w:ascii="仿宋_GB2312" w:hAnsi="仿宋_GB2312" w:eastAsia="仿宋_GB2312" w:cs="仿宋_GB2312"/>
          <w:b w:val="0"/>
          <w:bCs w:val="0"/>
          <w:color w:val="auto"/>
          <w:sz w:val="32"/>
          <w:szCs w:val="32"/>
          <w:highlight w:val="none"/>
          <w:lang w:val="en-US" w:eastAsia="zh-CN"/>
        </w:rPr>
        <w:t>农林水支出（类）水利（款）一般行政管理事务（项）。年初预算为311.36万元，支出决算为2740.78万元，完成年初预算的880.26%。决算数与年初预算数存在差异的主要原因是防汛抗旱指挥中心大楼建设资金2304.77万元未列入年初财政预算收入及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14.农林水支出（类）水利（款）水利行业业务管理（项）。</w:t>
      </w:r>
    </w:p>
    <w:p>
      <w:pPr>
        <w:keepNext w:val="0"/>
        <w:keepLines w:val="0"/>
        <w:pageBreakBefore w:val="0"/>
        <w:widowControl/>
        <w:kinsoku/>
        <w:wordWrap/>
        <w:overflowPunct/>
        <w:topLinePunct w:val="0"/>
        <w:autoSpaceDE/>
        <w:autoSpaceDN/>
        <w:bidi w:val="0"/>
        <w:adjustRightInd/>
        <w:snapToGrid/>
        <w:spacing w:line="59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年初预算为3469.12万元，支出决算为4255.15万元，完成年初预算的122.52%。决算数与年初预算数存在差异的主要原因是人员经费增加使用上年结转资金。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15.农林水支出（类）水利（款）水利工程建设（项）。</w:t>
      </w:r>
      <w:r>
        <w:rPr>
          <w:rFonts w:hint="eastAsia" w:ascii="仿宋_GB2312" w:hAnsi="仿宋_GB2312" w:eastAsia="仿宋_GB2312" w:cs="仿宋_GB2312"/>
          <w:b w:val="0"/>
          <w:bCs w:val="0"/>
          <w:color w:val="auto"/>
          <w:sz w:val="32"/>
          <w:szCs w:val="32"/>
          <w:highlight w:val="none"/>
          <w:lang w:val="en-US" w:eastAsia="zh-CN"/>
        </w:rPr>
        <w:t>年初预算为0万元，支出决算为912.16万元。决算数与年初预算数存在差异的主要原因是项目未完工。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16.农林水支出（类）水利（款）水土保持（项）。</w:t>
      </w:r>
      <w:r>
        <w:rPr>
          <w:rFonts w:hint="eastAsia" w:ascii="仿宋_GB2312" w:hAnsi="仿宋_GB2312" w:eastAsia="仿宋_GB2312" w:cs="仿宋_GB2312"/>
          <w:b w:val="0"/>
          <w:bCs w:val="0"/>
          <w:color w:val="auto"/>
          <w:sz w:val="32"/>
          <w:szCs w:val="32"/>
          <w:highlight w:val="none"/>
          <w:lang w:val="en-US" w:eastAsia="zh-CN"/>
        </w:rPr>
        <w:t>年初预算为0万元，支出决算为25.92万元。决算数与年初预算数存在差异的主要原因是省级下达资金。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17.农林水支出（类）水利（款）水资源节约管理与保护（项）。</w:t>
      </w:r>
      <w:r>
        <w:rPr>
          <w:rFonts w:hint="eastAsia" w:ascii="仿宋_GB2312" w:hAnsi="仿宋_GB2312" w:eastAsia="仿宋_GB2312" w:cs="仿宋_GB2312"/>
          <w:b w:val="0"/>
          <w:bCs w:val="0"/>
          <w:color w:val="auto"/>
          <w:sz w:val="32"/>
          <w:szCs w:val="32"/>
          <w:highlight w:val="none"/>
          <w:lang w:val="en-US" w:eastAsia="zh-CN"/>
        </w:rPr>
        <w:t>年初预算为605.57万元，支出决算为772万元，完成年初预算的127.48%。决算数与年初预算数存在差异的主要原因是支付往年结余资金，有的项目未列入年初预算。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18.农林水支出（类）水利（款）防汛（项）。</w:t>
      </w:r>
      <w:r>
        <w:rPr>
          <w:rFonts w:hint="eastAsia" w:ascii="仿宋_GB2312" w:hAnsi="仿宋_GB2312" w:eastAsia="仿宋_GB2312" w:cs="仿宋_GB2312"/>
          <w:b w:val="0"/>
          <w:bCs w:val="0"/>
          <w:color w:val="auto"/>
          <w:sz w:val="32"/>
          <w:szCs w:val="32"/>
          <w:highlight w:val="none"/>
          <w:lang w:val="en-US" w:eastAsia="zh-CN"/>
        </w:rPr>
        <w:t>年初预算为0万元，支出决算为22.45万元。决算数与年初预算数存在差异的主要原因是支付有上年结余资金。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农林水支出（类）水利（款）农田水利（项）。</w:t>
      </w:r>
      <w:r>
        <w:rPr>
          <w:rFonts w:hint="eastAsia" w:ascii="仿宋_GB2312" w:hAnsi="仿宋_GB2312" w:eastAsia="仿宋_GB2312" w:cs="仿宋_GB2312"/>
          <w:b w:val="0"/>
          <w:bCs w:val="0"/>
          <w:color w:val="auto"/>
          <w:sz w:val="32"/>
          <w:szCs w:val="32"/>
          <w:highlight w:val="none"/>
          <w:lang w:val="en-US" w:eastAsia="zh-CN"/>
        </w:rPr>
        <w:t>年初预算为0万元，支出决算为77.91万元。决算数与年初预算数存在差异的主要原因是：使用往年结余资金对试验站部分设备进行了更新维护，未列入年初预算。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20.农林水支出（类）水利（款）其他水利支出（项）。</w:t>
      </w:r>
      <w:r>
        <w:rPr>
          <w:rFonts w:hint="eastAsia" w:ascii="仿宋_GB2312" w:hAnsi="仿宋_GB2312" w:eastAsia="仿宋_GB2312" w:cs="仿宋_GB2312"/>
          <w:b w:val="0"/>
          <w:bCs w:val="0"/>
          <w:color w:val="auto"/>
          <w:sz w:val="32"/>
          <w:szCs w:val="32"/>
          <w:highlight w:val="none"/>
          <w:lang w:val="en-US" w:eastAsia="zh-CN"/>
        </w:rPr>
        <w:t>年初预算为0万元，支出决算为242.75万元。决算数与年初预算数存在差异的主要原因是支付有结余资金，省级下达资金，有些项目未列入年初预算。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21.农林水支出（类）水利（款）其他农林水支出（项）。</w:t>
      </w:r>
      <w:r>
        <w:rPr>
          <w:rFonts w:hint="eastAsia" w:ascii="仿宋_GB2312" w:hAnsi="仿宋_GB2312" w:eastAsia="仿宋_GB2312" w:cs="仿宋_GB2312"/>
          <w:b w:val="0"/>
          <w:bCs w:val="0"/>
          <w:color w:val="auto"/>
          <w:sz w:val="32"/>
          <w:szCs w:val="32"/>
          <w:highlight w:val="none"/>
          <w:lang w:val="en-US" w:eastAsia="zh-CN"/>
        </w:rPr>
        <w:t>年初预算为0万元，支出决算为220.53万元。决算数与年初预算数存在差异的主要原因是支付有结余资金、市级追加资金。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一般公共预算财政拨款基本支出5136.43万元。其中：人员经费4956.22万元，主要包括：基本工资、津贴补贴、绩效工资、机关事业单位基本养老保险缴费、职业年金缴费、其他社会保障缴费、其他工资福利支出、离休费、退休费、抚恤金、生活补助、奖励金、住房公积金、采暖补贴、物业服务补贴；公用经费180.22万元，主要包括：办公费、印刷费、咨询费、手续费、水费、电费、邮电费、取暖费、物业管理费、差旅费、维修（护）费、会议费、培训费、公务接待费、委托业务费、工会经费、福利费、公务用车运行维护费、其他交通费用、办公设备购置、专用设备购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预算为40.90万元，支出决算为42.83万元，完成预算的104.71%。2018年度“三公”经费支出决算数与预算数存在差异的主要原因是公务用车运行维护费超预算，部分单位管理范围长，巡河等日常工作大部分需要依靠乘坐车辆完成。</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三公”经费财政拨款支出决算中，因公出国（境）费支出决算0万元，年初预算0万元；公务用车购置及运行费支出决算42.71万元，完成预算的118.63%，占99.71%；公务接待费支出决算0.12万元，完成预算的2.44%，占0.29%。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年初预算为0万元，支出决算为0万元。全年因公出国（境）团组0个，累计0人次。</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为36万元，支出决算为42.71万元，完成年初预算的118.63%。决算数与年初预算数存在差异的主要原因是公务用车运行维护费超预算，部分单位管理范围长，巡河等日常工作大部分需要依靠乘坐车辆完成。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42.71万元。主要用于来往于各县区及省水利厅、巡河等日常工作公务用车的路桥费及加油费。2018年期末，部门开支财政拨款的公务用车保有量为30辆。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初预算为4.9万元，支出决算为0.12万元，完成年初预算的2.44%。决算数与年初预算数存在差异的主要原因是厉行节约，减少公务接待支出。其中：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0万元。2018年共接待国（境）外来访团组0个、来访外宾0人次（不包括陪同人员）。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0.12万元。主要用于接待业务主管部门业务指导及考察交流工作等。2018年共接待国内来访团组3个、来宾20人次（不包括陪同人员）。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2018年，共组织对1个项目进行了预算绩效评价，项目概况：2017年度维修养护项目是省财政厅下达的2017年度项目。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建设内容：本项目位于许昌市50万亩高效节水灌溉示范区内，主要是对站内SD-02型伸缩喷灌出水栓区、喷灌试验区（固定式）、智能灌溉试验区、地面灌溉试验区、地埋式半自动伸缩喷灌2区、地埋式半自动伸缩喷灌3区、铝合金中心支轴式喷灌机共计7个区域的提升改造和许昌市高效节水信息化管理平台的维护。</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2、项目绩效目标：通过该项目的实施，弥补试验站一些缺陷，有效改善和发展项目区农业生产，为该区实现节水增效、农民增收的经济发展创造了坚实的基础，有利于高效节水农业的稳步发展。</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3、项目实施计划：该2017年11月立项； 2017年12月至2018年3月项目调研、规划设计；2018年4月招标；2018年5月至2018年6月项目组织建设；2018年7月项目总结验收。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项目资金管理使用情况：1、资金下达情况。该项目资金由省财政下达，金额40万元，于2017年9月拨付至我单位。2、资金支付情况。该项目于2018年7月通过验收，已支付38.07万元。3、资金管理情况。我单位会计机构设置健全，严格执行财务管理制度，按照项目资金管理办法去管理和使用项目经费，做到专款专用，账务处理及时，会计核算规范，从而确保资金支出的真实性、安全性、合理性。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项目组织实施情况：在项目实施和管理过程中，我站严格按照《河南省省级水利发展资金使用管理办法》（豫财农﹝2017﹞48号有关规定， 2017年11月制订项目实施方案，并报请许昌市水务局批复立项，2018年3月该项目经财政评审，并出具评审结论，确定招标的最高限价为392220.41元。在项目采购环节，我单位严格按照政府采购有关规定，通过公开招标政府采购方式开展项目采购，并最终确定中标单位。该项目于2018年4月开工，我单位委托许昌市方园工程监理有限公司进行质量监督，截止2018年7月通过验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绩效情况：1、项目的实施进度及完成质量。项目于2018年4月开工，通过试运行及数据观测，该项目完成情况良好，2018年7月16日底通过验收。2、项目的效益性分析。完成预定建设目标，对试验站内灌溉设施及信息化平台进行了维护，符合有关技术规范规定和要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评价情况及评价结论：本预算项目具有明确的目标，资金到位及时，并制定了科学的实施计划，项目实施过程中严格按照省有关项目管理和经费管理规定执行。目前项目已经按计划完成，具有较好的经济和社会效益。绩效评价结果显示，上述项目绩效情况，达到项目申请时设定的各项绩效目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性基金预算财政拨款支出年初预算为0万元，支出决算为1734.5万元。主要用于防汛抗旱指挥中心大楼国有土地出让收入及上缴非税收入，其中防汛抗旱指挥中心大楼国有土地出让收入等项目年末结转和结余资金数额较大，主要原因：防汛抗旱指挥中心大楼国有资产出让部分给不动产登记中心及设计院。</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机关运行经费年初预算为146.57万元，支出决算为57.68万元，完成年初预算的39.35%。决算数与年初预算数存在差异的主要原因是统计口径有差异。年初预算数包含了项目类业务工作经费，决算数包含的有水电费、办公费、差旅费、邮电费及物业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1787.02万元，其中：政府采购货物支出117.24万元、政府采购工程支出603.72万元、政府采购服务支出1063.21万元。授予中小企业合同金额1787.02万元，占政府采购支出总额的100%，其中：授予小微企业合同金额78万元，占政府采购支出总额的4.36%。</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2018年期末，我部门共有车辆30辆，其中：应急保障车1辆、特种专业技术用车2辆、其他用车27辆；单位价值50万元以上通用设备0台（套），单位价值100万元以上专用设备2台（套）。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bookmarkEnd w:id="0"/>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twlb0BAABiAwAADgAAAGRycy9lMm9Eb2MueG1srVPBbhshEL1X6j8g&#10;7jUbHyJrZRy1ilJVitJKaT8As+BFAgYB9q77Ae0f9NRL7/0uf0cH7HWS5hblwg4zw5v3ZmaXV6Oz&#10;ZKdiMuA5vZg1lCgvoTN+w+m3rzfvFpSkLHwnLHjF6V4lerV6+2Y5hFbNoQfbqUgQxKd2CJz2OYeW&#10;sSR75USaQVAegxqiExmvccO6KAZEd5bNm+aSDRC7EEGqlNB7fQzSVcXXWsn8WeukMrGcIrdcz1jP&#10;dTnZainaTRShN/JEQ7yAhRPGY9Ez1LXIgmyjeQbljIyQQOeZBMdAayNV1YBqLpr/1Nz3IqiqBZuT&#10;wrlN6fVg5d3uSySm43ROiRcOR3T49fPw++/hzw9yWdozhNRi1n3AvDx+gBHHPPkTOovqUUdXvqiH&#10;YBwbvT83V42ZyPJoMV8sGgxJjE0XxGcPz0NM+aMCR4rBacTp1aaK3W3Kx9QppVTzcGOsrRO0/okD&#10;MYuHFe5HjsXK43o8CVpDt0c9uLhYp4f4nZIBl4BTj1tKif3kscdlXyYjTsZ6MoSX+JDTTMk2RLPp&#10;624VGim832bkVimXwsdqJz44yCr6tHRlUx7fa9bDr7H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xy3CV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gLvr8BAABlAwAADgAAAGRycy9lMm9Eb2MueG1srVNBrtMwEN0jcQfL&#10;e5q0C6iipl+gr4+QECB9OIDr2I0l22ON3SblAHADVmzYc66eg7Gb9H9gh9g445nxm/dmJpub0Vl2&#10;VBgN+JYvFzVnykvojN+3/NPHu2drzmISvhMWvGr5SUV+s336ZDOERq2gB9spZATiYzOElvcphaaq&#10;ouyVE3EBQXkKakAnEl1xX3UoBkJ3tlrV9fNqAOwCglQxkvf2EuTbgq+1kum91lElZltO3FI5sZy7&#10;fFbbjWj2KEJv5ERD/AMLJ4ynoleoW5EEO6D5C8oZiRBBp4UEV4HWRqqigdQs6z/U3PciqKKFmhPD&#10;tU3x/8HKd8cPyExHs+PMC0cjOn/7ev7+8/zjC1vWqxe5Q0OIDSXeB0pN4ysYc/bkj+TMwkeNLn9J&#10;EqM49fp07a8aE5P50Xq1XtcUkhSbL4RTPTwPGNNrBY5lo+VIAyx9Fce3MV1S55RczcOdsZb8orH+&#10;NwdhZk+VuV84ZiuNu3EivoPuRHpod6lOD/iZs4H2oOWeFpUz+8ZTm/PKzAbOxm42hJf0sOWJs0NA&#10;s+/LemUaMbw8JOJWKOfCl2oTH5plET3tXV6Wx/eS9fB3b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NL4C76/AQAAZQMAAA4AAAAAAAAAAQAgAAAAHgEAAGRycy9lMm9Eb2MueG1sUEsFBgAA&#10;AAAGAAYAWQEAAE8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7H568BAABLAwAADgAAAGRycy9lMm9Eb2MueG1srVPNThsxEL5X4h0s&#10;34mXI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b7H568BAABL&#10;AwAADgAAAAAAAAABACAAAAAeAQAAZHJzL2Uyb0RvYy54bWxQSwUGAAAAAAYABgBZAQAAP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550DF"/>
    <w:rsid w:val="2F68105E"/>
    <w:rsid w:val="52BC1E8B"/>
    <w:rsid w:val="767564C4"/>
    <w:rsid w:val="79415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uiPriority w:val="99"/>
    <w:rPr>
      <w:color w:val="800080"/>
      <w:u w:val="single"/>
    </w:rPr>
  </w:style>
  <w:style w:type="character" w:styleId="8">
    <w:name w:val="Hyperlink"/>
    <w:unhideWhenUsed/>
    <w:uiPriority w:val="99"/>
    <w:rPr>
      <w:color w:val="0000FF"/>
      <w:u w:val="single"/>
    </w:rPr>
  </w:style>
  <w:style w:type="paragraph" w:customStyle="1" w:styleId="9">
    <w:name w:val="p0"/>
    <w:qFormat/>
    <w:uiPriority w:val="0"/>
    <w:pPr>
      <w:widowControl/>
    </w:pPr>
    <w:rPr>
      <w:rFonts w:ascii="Calibri" w:hAnsi="Calibri" w:eastAsia="宋体" w:cs="宋体"/>
      <w:kern w:val="0"/>
      <w:szCs w:val="21"/>
    </w:rPr>
  </w:style>
  <w:style w:type="character" w:customStyle="1" w:styleId="10">
    <w:name w:val="font2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页眉 Char"/>
    <w:link w:val="4"/>
    <w:qFormat/>
    <w:uiPriority w:val="99"/>
    <w:rPr>
      <w:kern w:val="2"/>
      <w:sz w:val="18"/>
      <w:szCs w:val="18"/>
    </w:rPr>
  </w:style>
  <w:style w:type="character" w:customStyle="1" w:styleId="14">
    <w:name w:val="font51"/>
    <w:basedOn w:val="6"/>
    <w:uiPriority w:val="0"/>
    <w:rPr>
      <w:rFonts w:hint="eastAsia" w:ascii="宋体" w:hAnsi="宋体" w:eastAsia="宋体" w:cs="宋体"/>
      <w:color w:val="000000"/>
      <w:sz w:val="24"/>
      <w:szCs w:val="24"/>
      <w:u w:val="none"/>
    </w:rPr>
  </w:style>
  <w:style w:type="character" w:customStyle="1" w:styleId="15">
    <w:name w:val="批注框文本 Char"/>
    <w:basedOn w:val="6"/>
    <w:link w:val="2"/>
    <w:semiHidden/>
    <w:qFormat/>
    <w:uiPriority w:val="99"/>
    <w:rPr>
      <w:kern w:val="2"/>
      <w:sz w:val="18"/>
      <w:szCs w:val="18"/>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Pages>
  <Words>1217</Words>
  <Characters>6937</Characters>
  <Lines>1</Lines>
  <Paragraphs>1</Paragraphs>
  <TotalTime>73</TotalTime>
  <ScaleCrop>false</ScaleCrop>
  <LinksUpToDate>false</LinksUpToDate>
  <CharactersWithSpaces>8138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洋</cp:lastModifiedBy>
  <cp:lastPrinted>2018-07-24T10:50:00Z</cp:lastPrinted>
  <dcterms:modified xsi:type="dcterms:W3CDTF">2019-09-16T03:35:45Z</dcterms:modified>
  <dc:title>2018年度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