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highlight w:val="none"/>
        </w:rPr>
      </w:pPr>
      <w:bookmarkStart w:id="0" w:name="_GoBack"/>
      <w:bookmarkEnd w:id="0"/>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20</w:t>
      </w:r>
      <w:r>
        <w:rPr>
          <w:rFonts w:ascii="黑体" w:hAnsi="黑体" w:eastAsia="黑体" w:cs="黑体"/>
          <w:sz w:val="52"/>
          <w:szCs w:val="52"/>
          <w:highlight w:val="none"/>
        </w:rPr>
        <w:t>21</w:t>
      </w:r>
      <w:r>
        <w:rPr>
          <w:rFonts w:hint="eastAsia" w:ascii="黑体" w:hAnsi="黑体" w:eastAsia="黑体" w:cs="黑体"/>
          <w:sz w:val="52"/>
          <w:szCs w:val="52"/>
          <w:highlight w:val="none"/>
        </w:rPr>
        <w:t>年度</w:t>
      </w: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lang w:val="en-US" w:eastAsia="zh-CN"/>
        </w:rPr>
        <w:t>许昌市河湖管理中心</w:t>
      </w:r>
      <w:r>
        <w:rPr>
          <w:rFonts w:hint="eastAsia" w:ascii="黑体" w:hAnsi="黑体" w:eastAsia="黑体" w:cs="黑体"/>
          <w:sz w:val="52"/>
          <w:szCs w:val="52"/>
          <w:highlight w:val="none"/>
        </w:rPr>
        <w:t>部门决算</w:t>
      </w:r>
    </w:p>
    <w:p>
      <w:pPr>
        <w:jc w:val="center"/>
        <w:rPr>
          <w:rFonts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32"/>
          <w:szCs w:val="32"/>
          <w:highlight w:val="none"/>
        </w:rPr>
        <w:sectPr>
          <w:headerReference r:id="rId3" w:type="default"/>
          <w:footerReference r:id="rId5" w:type="default"/>
          <w:headerReference r:id="rId4" w:type="even"/>
          <w:footerReference r:id="rId6" w:type="even"/>
          <w:pgSz w:w="11906" w:h="16838"/>
          <w:pgMar w:top="1440" w:right="1531" w:bottom="1440" w:left="1587" w:header="850" w:footer="992" w:gutter="0"/>
          <w:pgBorders>
            <w:top w:val="none" w:sz="0" w:space="0"/>
            <w:left w:val="none" w:sz="0" w:space="0"/>
            <w:bottom w:val="none" w:sz="0" w:space="0"/>
            <w:right w:val="none" w:sz="0" w:space="0"/>
          </w:pgBorders>
          <w:pgNumType w:fmt="numberInDash" w:start="1"/>
          <w:cols w:space="720" w:num="1"/>
          <w:docGrid w:type="lines" w:linePitch="317" w:charSpace="0"/>
        </w:sectPr>
      </w:pPr>
      <w:r>
        <w:rPr>
          <w:rFonts w:hint="eastAsia" w:ascii="黑体" w:hAnsi="黑体" w:eastAsia="黑体" w:cs="黑体"/>
          <w:sz w:val="32"/>
          <w:szCs w:val="32"/>
          <w:highlight w:val="none"/>
        </w:rPr>
        <w:t>二〇二二年</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月</w:t>
      </w:r>
    </w:p>
    <w:p>
      <w:pPr>
        <w:jc w:val="center"/>
        <w:rPr>
          <w:rFonts w:hint="eastAsia" w:ascii="黑体" w:hAnsi="黑体" w:eastAsia="黑体" w:cs="黑体"/>
          <w:sz w:val="36"/>
          <w:szCs w:val="36"/>
          <w:highlight w:val="none"/>
        </w:rPr>
      </w:pPr>
    </w:p>
    <w:p>
      <w:pPr>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目　　录</w:t>
      </w:r>
    </w:p>
    <w:p>
      <w:pPr>
        <w:jc w:val="center"/>
        <w:rPr>
          <w:rFonts w:hint="eastAsia" w:ascii="黑体" w:hAnsi="黑体" w:eastAsia="黑体" w:cs="黑体"/>
          <w:sz w:val="36"/>
          <w:szCs w:val="36"/>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第一部分　</w:t>
      </w:r>
      <w:r>
        <w:rPr>
          <w:rFonts w:hint="eastAsia" w:ascii="黑体" w:hAnsi="黑体" w:eastAsia="黑体" w:cs="黑体"/>
          <w:sz w:val="32"/>
          <w:szCs w:val="32"/>
          <w:highlight w:val="none"/>
          <w:lang w:val="en-US" w:eastAsia="zh-CN"/>
        </w:rPr>
        <w:t>许昌市河湖管理中心</w:t>
      </w:r>
      <w:r>
        <w:rPr>
          <w:rFonts w:hint="eastAsia" w:ascii="黑体" w:hAnsi="黑体" w:eastAsia="黑体" w:cs="黑体"/>
          <w:sz w:val="32"/>
          <w:szCs w:val="32"/>
          <w:highlight w:val="none"/>
        </w:rPr>
        <w:t>概况</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部门职责</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机构设置</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  2021年度部门决算表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一、收入支出决算总表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二、收入决算表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三、支出决算表</w:t>
      </w:r>
    </w:p>
    <w:p>
      <w:pPr>
        <w:ind w:firstLine="640" w:firstLineChars="200"/>
        <w:jc w:val="left"/>
        <w:rPr>
          <w:rFonts w:ascii="宋体" w:hAnsi="宋体" w:cs="黑体"/>
          <w:sz w:val="32"/>
          <w:szCs w:val="32"/>
          <w:highlight w:val="none"/>
        </w:rPr>
      </w:pPr>
      <w:r>
        <w:rPr>
          <w:rFonts w:hint="eastAsia" w:ascii="宋体" w:hAnsi="宋体" w:cs="黑体"/>
          <w:sz w:val="32"/>
          <w:szCs w:val="32"/>
          <w:highlight w:val="none"/>
        </w:rPr>
        <w:t>四、财政拨款收入支出决算总表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五、一般公共预算财政拨款支出决算表</w:t>
      </w:r>
    </w:p>
    <w:p>
      <w:pPr>
        <w:ind w:firstLine="640" w:firstLineChars="200"/>
        <w:jc w:val="left"/>
        <w:rPr>
          <w:rFonts w:ascii="宋体" w:hAnsi="宋体" w:cs="黑体"/>
          <w:sz w:val="32"/>
          <w:szCs w:val="32"/>
          <w:highlight w:val="none"/>
        </w:rPr>
      </w:pPr>
      <w:r>
        <w:rPr>
          <w:rFonts w:hint="eastAsia" w:ascii="宋体" w:hAnsi="宋体" w:cs="黑体"/>
          <w:sz w:val="32"/>
          <w:szCs w:val="32"/>
          <w:highlight w:val="none"/>
        </w:rPr>
        <w:t>六、一般公共预算财政拨款基本支出决算明细表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七、一般公共预算财政拨款“三公”经费支出决算表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八、政府性基金预算财政拨款收入支出决算表</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第三部分　</w:t>
      </w:r>
      <w:r>
        <w:rPr>
          <w:rFonts w:ascii="黑体" w:hAnsi="黑体" w:eastAsia="黑体" w:cs="黑体"/>
          <w:sz w:val="32"/>
          <w:szCs w:val="32"/>
          <w:highlight w:val="none"/>
        </w:rPr>
        <w:t>2021</w:t>
      </w:r>
      <w:r>
        <w:rPr>
          <w:rFonts w:hint="eastAsia" w:ascii="黑体" w:hAnsi="黑体" w:eastAsia="黑体" w:cs="黑体"/>
          <w:sz w:val="32"/>
          <w:szCs w:val="32"/>
          <w:highlight w:val="none"/>
        </w:rPr>
        <w:t>年度</w:t>
      </w:r>
      <w:r>
        <w:rPr>
          <w:rFonts w:ascii="黑体" w:hAnsi="黑体" w:eastAsia="黑体" w:cs="黑体"/>
          <w:sz w:val="32"/>
          <w:szCs w:val="32"/>
          <w:highlight w:val="none"/>
        </w:rPr>
        <w:t>部门</w:t>
      </w:r>
      <w:r>
        <w:rPr>
          <w:rFonts w:hint="eastAsia" w:ascii="黑体" w:hAnsi="黑体" w:eastAsia="黑体" w:cs="黑体"/>
          <w:sz w:val="32"/>
          <w:szCs w:val="32"/>
          <w:highlight w:val="none"/>
        </w:rPr>
        <w:t>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一、收入支出决算总体情况说明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二、收入决算情况说明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三、支出决算情况说明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四、财政拨款收入支出决算总体情况说明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五、一般公共预算财政拨款支出决算情况说明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六、一般公共预算财政拨款基本支出决算情况说明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七、一般公共预算财政拨款“三公”经费支出决算情况说明</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八、政府性基金预算财政拨款支出决算情况说明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九、机关运行经费支出情况说明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十、政府采购支出情况说明</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十一、国有资产占用情况说明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十二、预算绩效情况说明</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both"/>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宋体" w:eastAsia="黑体" w:cs="宋体"/>
          <w:kern w:val="0"/>
          <w:sz w:val="28"/>
          <w:szCs w:val="28"/>
          <w:highlight w:val="none"/>
        </w:rPr>
      </w:pPr>
      <w:r>
        <w:rPr>
          <w:rFonts w:hint="eastAsia" w:ascii="黑体" w:hAnsi="黑体" w:eastAsia="黑体" w:cs="黑体"/>
          <w:sz w:val="48"/>
          <w:szCs w:val="48"/>
          <w:highlight w:val="none"/>
        </w:rPr>
        <w:t xml:space="preserve">第一部分 </w:t>
      </w:r>
      <w:r>
        <w:rPr>
          <w:rFonts w:hint="eastAsia" w:ascii="黑体" w:hAnsi="黑体" w:eastAsia="黑体" w:cs="黑体"/>
          <w:sz w:val="48"/>
          <w:szCs w:val="48"/>
          <w:highlight w:val="none"/>
          <w:lang w:val="en-US" w:eastAsia="zh-CN"/>
        </w:rPr>
        <w:t>许昌市河湖管理中心</w:t>
      </w:r>
      <w:r>
        <w:rPr>
          <w:rFonts w:hint="eastAsia" w:ascii="黑体" w:hAnsi="黑体" w:eastAsia="黑体" w:cs="黑体"/>
          <w:sz w:val="48"/>
          <w:szCs w:val="48"/>
          <w:highlight w:val="none"/>
        </w:rPr>
        <w:t>概况</w:t>
      </w: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 xml:space="preserve">    </w:t>
      </w:r>
      <w:r>
        <w:rPr>
          <w:rFonts w:hint="eastAsia" w:ascii="黑体" w:hAnsi="黑体" w:eastAsia="黑体" w:cs="黑体"/>
          <w:kern w:val="0"/>
          <w:sz w:val="32"/>
          <w:szCs w:val="32"/>
          <w:highlight w:val="none"/>
        </w:rPr>
        <w:t>一、部门</w:t>
      </w:r>
      <w:r>
        <w:rPr>
          <w:rFonts w:hint="eastAsia" w:ascii="黑体" w:hAnsi="黑体" w:eastAsia="黑体" w:cs="黑体"/>
          <w:bCs/>
          <w:sz w:val="32"/>
          <w:szCs w:val="32"/>
          <w:highlight w:val="none"/>
        </w:rPr>
        <w:t>职责</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val="en-US" w:eastAsia="zh-CN"/>
        </w:rPr>
        <w:t>协助机关做好全市河湖管理保护工作，推进水环境治理网格化和信息化建设管理</w:t>
      </w:r>
      <w:r>
        <w:rPr>
          <w:rFonts w:hint="eastAsia" w:ascii="仿宋_GB2312" w:hAnsi="仿宋_GB2312" w:eastAsia="仿宋_GB2312" w:cs="仿宋_GB2312"/>
          <w:kern w:val="0"/>
          <w:sz w:val="32"/>
          <w:szCs w:val="32"/>
        </w:rPr>
        <w:t>。</w:t>
      </w:r>
    </w:p>
    <w:p>
      <w:pPr>
        <w:widowControl/>
        <w:ind w:firstLine="640" w:firstLineChars="200"/>
        <w:jc w:val="left"/>
        <w:rPr>
          <w:rFonts w:hint="eastAsia"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val="en-US" w:eastAsia="zh-CN"/>
        </w:rPr>
        <w:t>组织实施水环境治理、水生态修复等工作，承担河湖长制工作考核评估的相关技术工作</w:t>
      </w:r>
      <w:r>
        <w:rPr>
          <w:rFonts w:hint="eastAsia" w:ascii="仿宋_GB2312" w:hAnsi="宋体" w:eastAsia="仿宋_GB2312" w:cs="宋体"/>
          <w:kern w:val="0"/>
          <w:sz w:val="32"/>
          <w:szCs w:val="32"/>
          <w:highlight w:val="none"/>
        </w:rPr>
        <w:t>。</w:t>
      </w: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许昌市河湖管理中心内设机构2个，包括：财务办公室、综合办公室。</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从决算单位构成看，许昌市河湖管理中心决算包括：本级决算。</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年度部门决算编制范围的单位共1个，具体是：</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许昌市河湖管理中心</w:t>
      </w:r>
    </w:p>
    <w:p>
      <w:pPr>
        <w:widowControl/>
        <w:jc w:val="left"/>
        <w:rPr>
          <w:rFonts w:hint="eastAsia" w:ascii="仿宋_GB2312" w:hAnsi="仿宋_GB2312" w:eastAsia="仿宋_GB2312" w:cs="仿宋_GB2312"/>
          <w:kern w:val="0"/>
          <w:sz w:val="32"/>
          <w:szCs w:val="32"/>
          <w:highlight w:val="none"/>
        </w:rPr>
      </w:pPr>
    </w:p>
    <w:p>
      <w:pPr>
        <w:widowControl/>
        <w:jc w:val="left"/>
        <w:rPr>
          <w:rFonts w:hint="eastAsia" w:ascii="黑体" w:hAnsi="宋体" w:eastAsia="黑体" w:cs="宋体"/>
          <w:kern w:val="0"/>
          <w:sz w:val="28"/>
          <w:szCs w:val="28"/>
          <w:highlight w:val="none"/>
        </w:rPr>
        <w:sectPr>
          <w:headerReference r:id="rId7" w:type="default"/>
          <w:footerReference r:id="rId9" w:type="default"/>
          <w:headerReference r:id="rId8" w:type="even"/>
          <w:footerReference r:id="rId10" w:type="even"/>
          <w:pgSz w:w="11906" w:h="16838"/>
          <w:pgMar w:top="1440" w:right="1800" w:bottom="1440" w:left="1800" w:header="720" w:footer="720"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第二部分  2021年度部门决算表</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sectPr>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仿宋_GB2312" w:hAnsi="仿宋_GB2312" w:eastAsia="仿宋_GB2312" w:cs="仿宋_GB2312"/>
          <w:sz w:val="32"/>
          <w:szCs w:val="32"/>
          <w:highlight w:val="none"/>
        </w:r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3294"/>
        <w:gridCol w:w="445"/>
        <w:gridCol w:w="3294"/>
        <w:gridCol w:w="3294"/>
        <w:gridCol w:w="445"/>
        <w:gridCol w:w="3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90" w:hRule="atLeast"/>
        </w:trPr>
        <w:tc>
          <w:tcPr>
            <w:tcW w:w="14066" w:type="dxa"/>
            <w:gridSpan w:val="6"/>
            <w:noWrap w:val="0"/>
            <w:vAlign w:val="bottom"/>
          </w:tcPr>
          <w:p>
            <w:pPr>
              <w:kinsoku/>
              <w:autoSpaceDE/>
              <w:autoSpaceDN w:val="0"/>
              <w:jc w:val="center"/>
              <w:textAlignment w:val="bottom"/>
              <w:rPr>
                <w:rFonts w:hint="default" w:ascii="宋体" w:hAnsi="宋体" w:eastAsia="宋体"/>
                <w:b w:val="0"/>
                <w:i w:val="0"/>
                <w:snapToGrid/>
                <w:color w:val="000000"/>
                <w:sz w:val="30"/>
                <w:u w:val="none"/>
                <w:lang w:eastAsia="zh-CN"/>
              </w:rPr>
            </w:pPr>
            <w:r>
              <w:rPr>
                <w:rFonts w:hint="default" w:ascii="宋体" w:hAnsi="宋体" w:eastAsia="宋体"/>
                <w:b w:val="0"/>
                <w:i w:val="0"/>
                <w:snapToGrid/>
                <w:color w:val="000000"/>
                <w:sz w:val="30"/>
                <w:szCs w:val="30"/>
                <w:u w:val="none"/>
                <w:lang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85" w:hRule="atLeast"/>
        </w:trPr>
        <w:tc>
          <w:tcPr>
            <w:tcW w:w="3294"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445"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3294"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3294"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3739" w:type="dxa"/>
            <w:gridSpan w:val="2"/>
            <w:noWrap w:val="0"/>
            <w:vAlign w:val="bottom"/>
          </w:tcPr>
          <w:p>
            <w:pPr>
              <w:kinsoku/>
              <w:autoSpaceDE/>
              <w:autoSpaceDN w:val="0"/>
              <w:jc w:val="righ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85" w:hRule="atLeast"/>
        </w:trPr>
        <w:tc>
          <w:tcPr>
            <w:tcW w:w="10327" w:type="dxa"/>
            <w:gridSpan w:val="4"/>
            <w:noWrap w:val="0"/>
            <w:vAlign w:val="bottom"/>
          </w:tcPr>
          <w:p>
            <w:pPr>
              <w:kinsoku/>
              <w:autoSpaceDE/>
              <w:autoSpaceDN w:val="0"/>
              <w:jc w:val="lef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部门：许昌市河湖管理中心</w:t>
            </w:r>
          </w:p>
        </w:tc>
        <w:tc>
          <w:tcPr>
            <w:tcW w:w="3739" w:type="dxa"/>
            <w:gridSpan w:val="2"/>
            <w:noWrap w:val="0"/>
            <w:vAlign w:val="bottom"/>
          </w:tcPr>
          <w:p>
            <w:pPr>
              <w:kinsoku/>
              <w:autoSpaceDE/>
              <w:autoSpaceDN w:val="0"/>
              <w:jc w:val="righ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7033"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收入</w:t>
            </w:r>
          </w:p>
        </w:tc>
        <w:tc>
          <w:tcPr>
            <w:tcW w:w="7033" w:type="dxa"/>
            <w:gridSpan w:val="3"/>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项目</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行次</w:t>
            </w:r>
          </w:p>
        </w:tc>
        <w:tc>
          <w:tcPr>
            <w:tcW w:w="3294"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金额</w:t>
            </w:r>
          </w:p>
        </w:tc>
        <w:tc>
          <w:tcPr>
            <w:tcW w:w="3294"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项目</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行次</w:t>
            </w:r>
          </w:p>
        </w:tc>
        <w:tc>
          <w:tcPr>
            <w:tcW w:w="3294"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75"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栏次</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3294"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栏次</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一、一般公共预算财政拨款收入</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61.74</w:t>
            </w: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一、一般公共服务支出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32</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二、政府性基金预算财政拨款收入</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二、外交支出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33</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三、国有资本经营预算财政拨款收入</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三、国防支出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34</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四、上级补助收入</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四、公共安全支出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五、事业收入</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五、教育支出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36</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六、经营收入</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六、科学技术支出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37</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七、附属单位上缴收入</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7</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七、文化旅游体育与传媒支出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38</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八、其他收入</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8</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八、社会保障和就业支出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39</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9</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九、卫生健康支出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40</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10</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十、节能环保支出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41</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11</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十一、城乡社区支出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42</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12</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十二、农林水支出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43</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13</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十三、交通运输支出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44</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14</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十四、资源勘探工业信息等支出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45</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15</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十五、商业服务业等支出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46</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w:t>
            </w:r>
          </w:p>
        </w:tc>
        <w:tc>
          <w:tcPr>
            <w:tcW w:w="32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十六、金融支出</w:t>
            </w:r>
          </w:p>
        </w:tc>
        <w:tc>
          <w:tcPr>
            <w:tcW w:w="4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47</w:t>
            </w:r>
          </w:p>
        </w:tc>
        <w:tc>
          <w:tcPr>
            <w:tcW w:w="32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17</w:t>
            </w:r>
          </w:p>
        </w:tc>
        <w:tc>
          <w:tcPr>
            <w:tcW w:w="32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十七、援助其他地区支出</w:t>
            </w:r>
          </w:p>
        </w:tc>
        <w:tc>
          <w:tcPr>
            <w:tcW w:w="4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48</w:t>
            </w:r>
          </w:p>
        </w:tc>
        <w:tc>
          <w:tcPr>
            <w:tcW w:w="32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18</w:t>
            </w:r>
          </w:p>
        </w:tc>
        <w:tc>
          <w:tcPr>
            <w:tcW w:w="3294" w:type="dxa"/>
            <w:tcBorders>
              <w:top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top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十八、自然资源海洋气象等支出</w:t>
            </w:r>
          </w:p>
        </w:tc>
        <w:tc>
          <w:tcPr>
            <w:tcW w:w="445" w:type="dxa"/>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49</w:t>
            </w:r>
          </w:p>
        </w:tc>
        <w:tc>
          <w:tcPr>
            <w:tcW w:w="3294" w:type="dxa"/>
            <w:tcBorders>
              <w:top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19</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十九、住房保障支出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50</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二十、粮油物资储备支出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51</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二十一、国有资本经营预算支出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52</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22</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二十二、灾害防治及应急管理支出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53</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23</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二十三、其他支出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54</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24</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0"/>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二十四、债务还本支出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55</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25</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0"/>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二十五、债务付息支出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56</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26</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0"/>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二十六、抗疫特别国债安排的支出</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57</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本年收入合计</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27</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61.74</w:t>
            </w:r>
          </w:p>
        </w:tc>
        <w:tc>
          <w:tcPr>
            <w:tcW w:w="3294"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本年支出合计</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58</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使用非财政拨款结余</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28</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结余分配</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59</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年初结转和结余</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29</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7.10</w:t>
            </w: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年末结转和结余</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60</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61</w:t>
            </w:r>
          </w:p>
        </w:tc>
        <w:tc>
          <w:tcPr>
            <w:tcW w:w="3294"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3294"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总计</w:t>
            </w:r>
          </w:p>
        </w:tc>
        <w:tc>
          <w:tcPr>
            <w:tcW w:w="445" w:type="dxa"/>
            <w:tcBorders>
              <w:bottom w:val="single" w:color="000000" w:sz="8"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68.84</w:t>
            </w:r>
          </w:p>
        </w:tc>
        <w:tc>
          <w:tcPr>
            <w:tcW w:w="3294"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总计</w:t>
            </w:r>
          </w:p>
        </w:tc>
        <w:tc>
          <w:tcPr>
            <w:tcW w:w="4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62</w:t>
            </w:r>
          </w:p>
        </w:tc>
        <w:tc>
          <w:tcPr>
            <w:tcW w:w="329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14066" w:type="dxa"/>
            <w:gridSpan w:val="6"/>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szCs w:val="22"/>
                <w:u w:val="none"/>
                <w:lang w:eastAsia="zh-CN"/>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330"/>
        <w:gridCol w:w="960"/>
        <w:gridCol w:w="960"/>
        <w:gridCol w:w="3930"/>
        <w:gridCol w:w="1470"/>
        <w:gridCol w:w="96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90" w:hRule="atLeast"/>
        </w:trPr>
        <w:tc>
          <w:tcPr>
            <w:tcW w:w="13410" w:type="dxa"/>
            <w:gridSpan w:val="11"/>
            <w:noWrap w:val="0"/>
            <w:vAlign w:val="bottom"/>
          </w:tcPr>
          <w:p>
            <w:pPr>
              <w:kinsoku/>
              <w:autoSpaceDE/>
              <w:autoSpaceDN w:val="0"/>
              <w:jc w:val="center"/>
              <w:textAlignment w:val="bottom"/>
              <w:rPr>
                <w:rFonts w:hint="default" w:ascii="宋体" w:hAnsi="宋体" w:eastAsia="宋体"/>
                <w:b w:val="0"/>
                <w:i w:val="0"/>
                <w:snapToGrid/>
                <w:color w:val="000000"/>
                <w:sz w:val="30"/>
                <w:u w:val="none"/>
                <w:lang w:eastAsia="zh-CN"/>
              </w:rPr>
            </w:pPr>
            <w:r>
              <w:rPr>
                <w:rFonts w:hint="default" w:ascii="宋体" w:hAnsi="宋体" w:eastAsia="宋体"/>
                <w:b w:val="0"/>
                <w:i w:val="0"/>
                <w:snapToGrid/>
                <w:color w:val="000000"/>
                <w:sz w:val="30"/>
                <w:szCs w:val="30"/>
                <w:u w:val="none"/>
                <w:lang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85" w:hRule="atLeast"/>
        </w:trPr>
        <w:tc>
          <w:tcPr>
            <w:tcW w:w="33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6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6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393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47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6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6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6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6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920" w:type="dxa"/>
            <w:gridSpan w:val="2"/>
            <w:noWrap w:val="0"/>
            <w:vAlign w:val="bottom"/>
          </w:tcPr>
          <w:p>
            <w:pPr>
              <w:kinsoku/>
              <w:autoSpaceDE/>
              <w:autoSpaceDN w:val="0"/>
              <w:jc w:val="righ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85" w:hRule="atLeast"/>
        </w:trPr>
        <w:tc>
          <w:tcPr>
            <w:tcW w:w="9570" w:type="dxa"/>
            <w:gridSpan w:val="7"/>
            <w:noWrap w:val="0"/>
            <w:vAlign w:val="bottom"/>
          </w:tcPr>
          <w:p>
            <w:pPr>
              <w:kinsoku/>
              <w:autoSpaceDE/>
              <w:autoSpaceDN w:val="0"/>
              <w:jc w:val="lef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部门：许昌市河湖管理中心</w:t>
            </w:r>
          </w:p>
        </w:tc>
        <w:tc>
          <w:tcPr>
            <w:tcW w:w="96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6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920" w:type="dxa"/>
            <w:gridSpan w:val="2"/>
            <w:noWrap w:val="0"/>
            <w:vAlign w:val="bottom"/>
          </w:tcPr>
          <w:p>
            <w:pPr>
              <w:kinsoku/>
              <w:autoSpaceDE/>
              <w:autoSpaceDN w:val="0"/>
              <w:jc w:val="righ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180"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项目</w:t>
            </w:r>
          </w:p>
        </w:tc>
        <w:tc>
          <w:tcPr>
            <w:tcW w:w="1470"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本年收入合计</w:t>
            </w:r>
          </w:p>
        </w:tc>
        <w:tc>
          <w:tcPr>
            <w:tcW w:w="960"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财政拨款收入</w:t>
            </w:r>
          </w:p>
        </w:tc>
        <w:tc>
          <w:tcPr>
            <w:tcW w:w="960"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上级补助收入</w:t>
            </w:r>
          </w:p>
        </w:tc>
        <w:tc>
          <w:tcPr>
            <w:tcW w:w="960"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事业收入</w:t>
            </w:r>
          </w:p>
        </w:tc>
        <w:tc>
          <w:tcPr>
            <w:tcW w:w="960"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经营收入</w:t>
            </w:r>
          </w:p>
        </w:tc>
        <w:tc>
          <w:tcPr>
            <w:tcW w:w="960"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附属单位上缴收入</w:t>
            </w:r>
          </w:p>
        </w:tc>
        <w:tc>
          <w:tcPr>
            <w:tcW w:w="960"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vMerge w:val="restart"/>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功能分类科目编码</w:t>
            </w:r>
          </w:p>
        </w:tc>
        <w:tc>
          <w:tcPr>
            <w:tcW w:w="3930"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科目名称</w:t>
            </w:r>
          </w:p>
        </w:tc>
        <w:tc>
          <w:tcPr>
            <w:tcW w:w="147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vMerge w:val="continue"/>
            <w:tcBorders>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napToGrid/>
                <w:sz w:val="24"/>
              </w:rPr>
            </w:pPr>
          </w:p>
        </w:tc>
        <w:tc>
          <w:tcPr>
            <w:tcW w:w="3930"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147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vMerge w:val="continue"/>
            <w:tcBorders>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napToGrid/>
                <w:sz w:val="24"/>
              </w:rPr>
            </w:pPr>
          </w:p>
        </w:tc>
        <w:tc>
          <w:tcPr>
            <w:tcW w:w="3930"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147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180" w:type="dxa"/>
            <w:gridSpan w:val="4"/>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栏次</w:t>
            </w:r>
          </w:p>
        </w:tc>
        <w:tc>
          <w:tcPr>
            <w:tcW w:w="147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96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w:t>
            </w:r>
          </w:p>
        </w:tc>
        <w:tc>
          <w:tcPr>
            <w:tcW w:w="96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w:t>
            </w:r>
          </w:p>
        </w:tc>
        <w:tc>
          <w:tcPr>
            <w:tcW w:w="96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w:t>
            </w:r>
          </w:p>
        </w:tc>
        <w:tc>
          <w:tcPr>
            <w:tcW w:w="96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w:t>
            </w:r>
          </w:p>
        </w:tc>
        <w:tc>
          <w:tcPr>
            <w:tcW w:w="96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w:t>
            </w:r>
          </w:p>
        </w:tc>
        <w:tc>
          <w:tcPr>
            <w:tcW w:w="96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180" w:type="dxa"/>
            <w:gridSpan w:val="4"/>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合计</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61.74</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61.74</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201</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一般公共服务支出</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20129</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群众团体事务</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2012906</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工会事务</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9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208</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社会保障和就业支出</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20805</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行政事业单位养老支出</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2080505</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机关事业单位基本养老保险缴费支出</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210</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卫生健康支出</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1.59</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1.59</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21011</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行政事业单位医疗</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1.59</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1.59</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2101102</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事业单位医疗</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1.59</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1.59</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213</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农林水支出</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56.32</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56.32</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21303</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水利</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56.32</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56.32</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2130304</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水利行业业务管理</w:t>
            </w: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56.32</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56.32</w:t>
            </w: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72" w:hRule="atLeast"/>
        </w:trPr>
        <w:tc>
          <w:tcPr>
            <w:tcW w:w="2250"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47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13410" w:type="dxa"/>
            <w:gridSpan w:val="11"/>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szCs w:val="22"/>
                <w:u w:val="none"/>
                <w:lang w:eastAsia="zh-CN"/>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330"/>
        <w:gridCol w:w="959"/>
        <w:gridCol w:w="959"/>
        <w:gridCol w:w="3930"/>
        <w:gridCol w:w="1575"/>
        <w:gridCol w:w="1904"/>
        <w:gridCol w:w="1875"/>
        <w:gridCol w:w="1575"/>
        <w:gridCol w:w="959"/>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90" w:hRule="atLeast"/>
        </w:trPr>
        <w:tc>
          <w:tcPr>
            <w:tcW w:w="14738" w:type="dxa"/>
            <w:gridSpan w:val="10"/>
            <w:noWrap w:val="0"/>
            <w:vAlign w:val="bottom"/>
          </w:tcPr>
          <w:p>
            <w:pPr>
              <w:kinsoku/>
              <w:autoSpaceDE/>
              <w:autoSpaceDN w:val="0"/>
              <w:jc w:val="center"/>
              <w:textAlignment w:val="bottom"/>
              <w:rPr>
                <w:rFonts w:hint="default" w:ascii="宋体" w:hAnsi="宋体" w:eastAsia="宋体"/>
                <w:b w:val="0"/>
                <w:i w:val="0"/>
                <w:snapToGrid/>
                <w:color w:val="000000"/>
                <w:sz w:val="30"/>
                <w:u w:val="none"/>
                <w:lang w:eastAsia="zh-CN"/>
              </w:rPr>
            </w:pPr>
            <w:r>
              <w:rPr>
                <w:rFonts w:hint="default" w:ascii="宋体" w:hAnsi="宋体" w:eastAsia="宋体"/>
                <w:b w:val="0"/>
                <w:i w:val="0"/>
                <w:snapToGrid/>
                <w:color w:val="000000"/>
                <w:sz w:val="30"/>
                <w:szCs w:val="30"/>
                <w:u w:val="none"/>
                <w:lang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85" w:hRule="atLeast"/>
        </w:trPr>
        <w:tc>
          <w:tcPr>
            <w:tcW w:w="33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59"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59"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393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575"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904"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875"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575"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631" w:type="dxa"/>
            <w:gridSpan w:val="2"/>
            <w:noWrap w:val="0"/>
            <w:vAlign w:val="bottom"/>
          </w:tcPr>
          <w:p>
            <w:pPr>
              <w:kinsoku/>
              <w:autoSpaceDE/>
              <w:autoSpaceDN w:val="0"/>
              <w:jc w:val="righ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85" w:hRule="atLeast"/>
        </w:trPr>
        <w:tc>
          <w:tcPr>
            <w:tcW w:w="9657" w:type="dxa"/>
            <w:gridSpan w:val="6"/>
            <w:noWrap w:val="0"/>
            <w:vAlign w:val="bottom"/>
          </w:tcPr>
          <w:p>
            <w:pPr>
              <w:kinsoku/>
              <w:autoSpaceDE/>
              <w:autoSpaceDN w:val="0"/>
              <w:jc w:val="lef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部门：许昌市河湖管理中心</w:t>
            </w:r>
          </w:p>
        </w:tc>
        <w:tc>
          <w:tcPr>
            <w:tcW w:w="1875"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575"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631" w:type="dxa"/>
            <w:gridSpan w:val="2"/>
            <w:noWrap w:val="0"/>
            <w:vAlign w:val="bottom"/>
          </w:tcPr>
          <w:p>
            <w:pPr>
              <w:kinsoku/>
              <w:autoSpaceDE/>
              <w:autoSpaceDN w:val="0"/>
              <w:jc w:val="righ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178"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项目</w:t>
            </w:r>
          </w:p>
        </w:tc>
        <w:tc>
          <w:tcPr>
            <w:tcW w:w="1575"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本年支出合计</w:t>
            </w:r>
          </w:p>
        </w:tc>
        <w:tc>
          <w:tcPr>
            <w:tcW w:w="1904"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基本支出</w:t>
            </w:r>
          </w:p>
        </w:tc>
        <w:tc>
          <w:tcPr>
            <w:tcW w:w="1875"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项目支出</w:t>
            </w:r>
          </w:p>
        </w:tc>
        <w:tc>
          <w:tcPr>
            <w:tcW w:w="1575"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上缴上级支出</w:t>
            </w:r>
          </w:p>
        </w:tc>
        <w:tc>
          <w:tcPr>
            <w:tcW w:w="959"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经营支出</w:t>
            </w:r>
          </w:p>
        </w:tc>
        <w:tc>
          <w:tcPr>
            <w:tcW w:w="672"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vMerge w:val="restart"/>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功能分类科目编码</w:t>
            </w:r>
          </w:p>
        </w:tc>
        <w:tc>
          <w:tcPr>
            <w:tcW w:w="3930"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科目名称</w:t>
            </w:r>
          </w:p>
        </w:tc>
        <w:tc>
          <w:tcPr>
            <w:tcW w:w="1575"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1904"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1875"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1575"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59"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672"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vMerge w:val="continue"/>
            <w:tcBorders>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napToGrid/>
                <w:sz w:val="24"/>
              </w:rPr>
            </w:pPr>
          </w:p>
        </w:tc>
        <w:tc>
          <w:tcPr>
            <w:tcW w:w="3930"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1575"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1904"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1875"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1575"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59"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672"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vMerge w:val="continue"/>
            <w:tcBorders>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napToGrid/>
                <w:sz w:val="24"/>
              </w:rPr>
            </w:pPr>
          </w:p>
        </w:tc>
        <w:tc>
          <w:tcPr>
            <w:tcW w:w="3930"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1575"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1904"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1875"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1575"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959"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c>
          <w:tcPr>
            <w:tcW w:w="672"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178" w:type="dxa"/>
            <w:gridSpan w:val="4"/>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栏次</w:t>
            </w:r>
          </w:p>
        </w:tc>
        <w:tc>
          <w:tcPr>
            <w:tcW w:w="157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1904"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w:t>
            </w:r>
          </w:p>
        </w:tc>
        <w:tc>
          <w:tcPr>
            <w:tcW w:w="187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w:t>
            </w:r>
          </w:p>
        </w:tc>
        <w:tc>
          <w:tcPr>
            <w:tcW w:w="157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w:t>
            </w:r>
          </w:p>
        </w:tc>
        <w:tc>
          <w:tcPr>
            <w:tcW w:w="959"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w:t>
            </w:r>
          </w:p>
        </w:tc>
        <w:tc>
          <w:tcPr>
            <w:tcW w:w="672"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178" w:type="dxa"/>
            <w:gridSpan w:val="4"/>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合计</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68.84</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65.90</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2.94</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201</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一般公共服务支出</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20129</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群众团体事务</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2012906</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工会事务</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208</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社会保障和就业支出</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20805</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行政事业单位养老支出</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2080505</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机关事业单位基本养老保险缴费支出</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210</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卫生健康支出</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21011</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行政事业单位医疗</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2101102</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事业单位医疗</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213</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农林水支出</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63.40</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60.46</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2.94</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21303</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水利</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63.40</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60.46</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2.94</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2130304</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水利行业业务管理</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63.40</w:t>
            </w: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60.46</w:t>
            </w: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2.94</w:t>
            </w: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904"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5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7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14738" w:type="dxa"/>
            <w:gridSpan w:val="10"/>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szCs w:val="22"/>
                <w:u w:val="none"/>
                <w:lang w:eastAsia="zh-CN"/>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2418"/>
        <w:gridCol w:w="446"/>
        <w:gridCol w:w="2418"/>
        <w:gridCol w:w="3147"/>
        <w:gridCol w:w="446"/>
        <w:gridCol w:w="986"/>
        <w:gridCol w:w="1315"/>
        <w:gridCol w:w="1139"/>
        <w:gridCol w:w="2318"/>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420" w:hRule="atLeast"/>
        </w:trPr>
        <w:tc>
          <w:tcPr>
            <w:tcW w:w="14633" w:type="dxa"/>
            <w:gridSpan w:val="9"/>
            <w:noWrap w:val="0"/>
            <w:vAlign w:val="bottom"/>
          </w:tcPr>
          <w:p>
            <w:pPr>
              <w:kinsoku/>
              <w:autoSpaceDE/>
              <w:autoSpaceDN w:val="0"/>
              <w:jc w:val="center"/>
              <w:textAlignment w:val="bottom"/>
              <w:rPr>
                <w:rFonts w:hint="default" w:ascii="宋体" w:hAnsi="宋体" w:eastAsia="宋体"/>
                <w:b w:val="0"/>
                <w:i w:val="0"/>
                <w:snapToGrid/>
                <w:color w:val="000000"/>
                <w:sz w:val="30"/>
                <w:u w:val="none"/>
                <w:lang w:eastAsia="zh-CN"/>
              </w:rPr>
            </w:pPr>
            <w:r>
              <w:rPr>
                <w:rFonts w:hint="default" w:ascii="宋体" w:hAnsi="宋体" w:eastAsia="宋体"/>
                <w:b w:val="0"/>
                <w:i w:val="0"/>
                <w:snapToGrid/>
                <w:color w:val="000000"/>
                <w:sz w:val="30"/>
                <w:szCs w:val="30"/>
                <w:u w:val="none"/>
                <w:lang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85" w:hRule="atLeast"/>
        </w:trPr>
        <w:tc>
          <w:tcPr>
            <w:tcW w:w="2418"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446"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2418"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3147"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446"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86"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315"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3457" w:type="dxa"/>
            <w:gridSpan w:val="2"/>
            <w:noWrap w:val="0"/>
            <w:vAlign w:val="bottom"/>
          </w:tcPr>
          <w:p>
            <w:pPr>
              <w:kinsoku/>
              <w:autoSpaceDE/>
              <w:autoSpaceDN w:val="0"/>
              <w:jc w:val="righ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85" w:hRule="atLeast"/>
        </w:trPr>
        <w:tc>
          <w:tcPr>
            <w:tcW w:w="8429" w:type="dxa"/>
            <w:gridSpan w:val="4"/>
            <w:noWrap w:val="0"/>
            <w:vAlign w:val="bottom"/>
          </w:tcPr>
          <w:p>
            <w:pPr>
              <w:kinsoku/>
              <w:autoSpaceDE/>
              <w:autoSpaceDN w:val="0"/>
              <w:jc w:val="lef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部门：许昌市河湖管理中心</w:t>
            </w:r>
          </w:p>
        </w:tc>
        <w:tc>
          <w:tcPr>
            <w:tcW w:w="446"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86"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315"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3457" w:type="dxa"/>
            <w:gridSpan w:val="2"/>
            <w:noWrap w:val="0"/>
            <w:vAlign w:val="bottom"/>
          </w:tcPr>
          <w:p>
            <w:pPr>
              <w:kinsoku/>
              <w:autoSpaceDE/>
              <w:autoSpaceDN w:val="0"/>
              <w:jc w:val="righ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300" w:hRule="atLeast"/>
        </w:trPr>
        <w:tc>
          <w:tcPr>
            <w:tcW w:w="5282"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收     入</w:t>
            </w:r>
          </w:p>
        </w:tc>
        <w:tc>
          <w:tcPr>
            <w:tcW w:w="9351" w:type="dxa"/>
            <w:gridSpan w:val="6"/>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85" w:hRule="atLeast"/>
        </w:trPr>
        <w:tc>
          <w:tcPr>
            <w:tcW w:w="2418" w:type="dxa"/>
            <w:vMerge w:val="restart"/>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项目</w:t>
            </w:r>
          </w:p>
        </w:tc>
        <w:tc>
          <w:tcPr>
            <w:tcW w:w="446"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行次</w:t>
            </w:r>
          </w:p>
        </w:tc>
        <w:tc>
          <w:tcPr>
            <w:tcW w:w="2418"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金额</w:t>
            </w:r>
          </w:p>
        </w:tc>
        <w:tc>
          <w:tcPr>
            <w:tcW w:w="3147"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项目</w:t>
            </w:r>
          </w:p>
        </w:tc>
        <w:tc>
          <w:tcPr>
            <w:tcW w:w="446"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行次</w:t>
            </w:r>
          </w:p>
        </w:tc>
        <w:tc>
          <w:tcPr>
            <w:tcW w:w="986"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合计</w:t>
            </w:r>
          </w:p>
        </w:tc>
        <w:tc>
          <w:tcPr>
            <w:tcW w:w="1315"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一般公共预算财政拨款</w:t>
            </w:r>
          </w:p>
        </w:tc>
        <w:tc>
          <w:tcPr>
            <w:tcW w:w="1139"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政府性基金预算财政拨款</w:t>
            </w:r>
          </w:p>
        </w:tc>
        <w:tc>
          <w:tcPr>
            <w:tcW w:w="2318"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615" w:hRule="atLeast"/>
        </w:trPr>
        <w:tc>
          <w:tcPr>
            <w:tcW w:w="2418" w:type="dxa"/>
            <w:vMerge w:val="continue"/>
            <w:tcBorders>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napToGrid/>
                <w:sz w:val="24"/>
              </w:rPr>
            </w:pPr>
          </w:p>
        </w:tc>
        <w:tc>
          <w:tcPr>
            <w:tcW w:w="446"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2418"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3147"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446"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986"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1315"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1139"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2318"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30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栏次</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2418"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3147"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栏次</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p>
        </w:tc>
        <w:tc>
          <w:tcPr>
            <w:tcW w:w="98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w:t>
            </w:r>
          </w:p>
        </w:tc>
        <w:tc>
          <w:tcPr>
            <w:tcW w:w="131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w:t>
            </w:r>
          </w:p>
        </w:tc>
        <w:tc>
          <w:tcPr>
            <w:tcW w:w="1139"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w:t>
            </w:r>
          </w:p>
        </w:tc>
        <w:tc>
          <w:tcPr>
            <w:tcW w:w="2318"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30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一、一般公共预算财政拨款</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61.74</w:t>
            </w: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一、一般公共服务支出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33</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30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二、政府性基金预算财政拨款</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二、外交支出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34</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30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三、国有资本经营财政拨款</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三、国防支出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四、公共安全支出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36</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9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五、教育支出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37</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六、科学技术支出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38</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7</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七、文化旅游体育与传媒支出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39</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8</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八、社会保障和就业支出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40</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9</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九、卫生健康支出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41</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10</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十、节能环保支出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42</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11</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十一、城乡社区支出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43</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12</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十二、农林水支出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44</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63.40</w:t>
            </w: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63.40</w:t>
            </w: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55"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13</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十三、交通运输支出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45</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55"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14</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十四、资源勘探工业信息等支出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46</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55" w:hRule="atLeast"/>
        </w:trPr>
        <w:tc>
          <w:tcPr>
            <w:tcW w:w="241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15</w:t>
            </w:r>
          </w:p>
        </w:tc>
        <w:tc>
          <w:tcPr>
            <w:tcW w:w="241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十五、商业服务业等支出</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47</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gridAfter w:val="1"/>
          <w:wBefore w:w="0" w:type="dxa"/>
          <w:wAfter w:w="0" w:type="dxa"/>
          <w:trHeight w:val="255" w:hRule="atLeast"/>
        </w:trPr>
        <w:tc>
          <w:tcPr>
            <w:tcW w:w="241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w:t>
            </w:r>
          </w:p>
        </w:tc>
        <w:tc>
          <w:tcPr>
            <w:tcW w:w="241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十六、金融支出</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48</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67" w:hRule="atLeast"/>
        </w:trPr>
        <w:tc>
          <w:tcPr>
            <w:tcW w:w="241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17</w:t>
            </w:r>
          </w:p>
        </w:tc>
        <w:tc>
          <w:tcPr>
            <w:tcW w:w="2418" w:type="dxa"/>
            <w:tcBorders>
              <w:top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top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十七、援助其他地区支出</w:t>
            </w:r>
          </w:p>
        </w:tc>
        <w:tc>
          <w:tcPr>
            <w:tcW w:w="446" w:type="dxa"/>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49</w:t>
            </w:r>
          </w:p>
        </w:tc>
        <w:tc>
          <w:tcPr>
            <w:tcW w:w="986" w:type="dxa"/>
            <w:tcBorders>
              <w:top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top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top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top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55"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18</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十八、自然资源海洋气象等支出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50</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55"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19</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十九、住房保障支出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51</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55"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二十、粮油物资储备支出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52</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55"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二十一、国有资本经营预算支出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53</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55"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22</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二十二、灾害防治及应急管理支出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54</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55"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23</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二十三、其他支出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55</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55"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24</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二十四、债务还本支出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56</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55"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25</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二十五、债务付息支出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57</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55"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26</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二十六、抗疫特别国债安排的支出</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58</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本年收入合计</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27</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61.74</w:t>
            </w:r>
          </w:p>
        </w:tc>
        <w:tc>
          <w:tcPr>
            <w:tcW w:w="3147"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本年支出合计</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59</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68.84</w:t>
            </w: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68.84</w:t>
            </w: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年初财政拨款结转和结余</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28</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7.10</w:t>
            </w: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年末财政拨款结转和结余</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60</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一般公共预算财政拨款</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29</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7.10</w:t>
            </w: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61</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政府性基金预算财政拨款</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62</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国有资本经营预算财政拨款</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3147"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63</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40" w:hRule="atLeast"/>
        </w:trPr>
        <w:tc>
          <w:tcPr>
            <w:tcW w:w="2418"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总计</w:t>
            </w:r>
          </w:p>
        </w:tc>
        <w:tc>
          <w:tcPr>
            <w:tcW w:w="446" w:type="dxa"/>
            <w:tcBorders>
              <w:bottom w:val="single" w:color="000000" w:sz="8"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32</w:t>
            </w:r>
          </w:p>
        </w:tc>
        <w:tc>
          <w:tcPr>
            <w:tcW w:w="241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68.84</w:t>
            </w:r>
          </w:p>
        </w:tc>
        <w:tc>
          <w:tcPr>
            <w:tcW w:w="3147"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总计</w:t>
            </w:r>
          </w:p>
        </w:tc>
        <w:tc>
          <w:tcPr>
            <w:tcW w:w="446"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64</w:t>
            </w:r>
          </w:p>
        </w:tc>
        <w:tc>
          <w:tcPr>
            <w:tcW w:w="98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68.84</w:t>
            </w:r>
          </w:p>
        </w:tc>
        <w:tc>
          <w:tcPr>
            <w:tcW w:w="13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68.84</w:t>
            </w:r>
          </w:p>
        </w:tc>
        <w:tc>
          <w:tcPr>
            <w:tcW w:w="113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333" w:type="dxa"/>
            <w:gridSpan w:val="2"/>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420" w:hRule="atLeast"/>
        </w:trPr>
        <w:tc>
          <w:tcPr>
            <w:tcW w:w="14648" w:type="dxa"/>
            <w:gridSpan w:val="10"/>
            <w:noWrap w:val="0"/>
            <w:vAlign w:val="center"/>
          </w:tcPr>
          <w:p>
            <w:pPr>
              <w:kinsoku/>
              <w:autoSpaceDE/>
              <w:autoSpaceDN w:val="0"/>
              <w:jc w:val="left"/>
              <w:textAlignment w:val="center"/>
              <w:rPr>
                <w:rFonts w:hint="default" w:ascii="宋体" w:hAnsi="宋体" w:eastAsia="宋体"/>
                <w:b w:val="0"/>
                <w:i w:val="0"/>
                <w:snapToGrid/>
                <w:color w:val="000000"/>
                <w:sz w:val="20"/>
                <w:szCs w:val="20"/>
                <w:u w:val="none"/>
                <w:lang w:eastAsia="zh-CN"/>
              </w:rPr>
            </w:pPr>
            <w:r>
              <w:rPr>
                <w:rFonts w:hint="default" w:ascii="宋体" w:hAnsi="宋体" w:eastAsia="宋体"/>
                <w:b w:val="0"/>
                <w:i w:val="0"/>
                <w:snapToGrid/>
                <w:color w:val="000000"/>
                <w:sz w:val="22"/>
                <w:szCs w:val="22"/>
                <w:u w:val="none"/>
                <w:lang w:eastAsia="zh-CN"/>
              </w:rPr>
              <w:t>注：本表反映部门本年度一般公共预算财政拨款、政府性基金预算财政拨款和国有资本经营预算财政拨款的总收支和年末结转结余情况。本表金额转换为万元时，因四舍五入可能存在尾差。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highlight w:val="none"/>
        </w:rPr>
        <w:sectPr>
          <w:pgSz w:w="16838" w:h="11906" w:orient="landscape"/>
          <w:pgMar w:top="1417" w:right="1440" w:bottom="1417" w:left="1440" w:header="720" w:footer="720" w:gutter="0"/>
          <w:paperSrc/>
          <w:pgBorders>
            <w:top w:val="none" w:sz="0" w:space="0"/>
            <w:left w:val="none" w:sz="0" w:space="0"/>
            <w:bottom w:val="none" w:sz="0" w:space="0"/>
            <w:right w:val="none" w:sz="0" w:space="0"/>
          </w:pgBorders>
          <w:pgNumType w:fmt="decimal"/>
          <w:cols w:space="720" w:num="1"/>
          <w:docGrid w:type="lines" w:linePitch="312" w:charSpace="0"/>
        </w:sect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330"/>
        <w:gridCol w:w="959"/>
        <w:gridCol w:w="959"/>
        <w:gridCol w:w="3930"/>
        <w:gridCol w:w="2955"/>
        <w:gridCol w:w="2715"/>
        <w:gridCol w:w="2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90" w:hRule="atLeast"/>
        </w:trPr>
        <w:tc>
          <w:tcPr>
            <w:tcW w:w="14723" w:type="dxa"/>
            <w:gridSpan w:val="7"/>
            <w:noWrap w:val="0"/>
            <w:vAlign w:val="bottom"/>
          </w:tcPr>
          <w:p>
            <w:pPr>
              <w:kinsoku/>
              <w:autoSpaceDE/>
              <w:autoSpaceDN w:val="0"/>
              <w:jc w:val="center"/>
              <w:textAlignment w:val="bottom"/>
              <w:rPr>
                <w:rFonts w:hint="default" w:ascii="宋体" w:hAnsi="宋体" w:eastAsia="宋体"/>
                <w:b w:val="0"/>
                <w:i w:val="0"/>
                <w:snapToGrid/>
                <w:color w:val="000000"/>
                <w:sz w:val="30"/>
                <w:u w:val="none"/>
                <w:lang w:eastAsia="zh-CN"/>
              </w:rPr>
            </w:pPr>
            <w:r>
              <w:rPr>
                <w:rFonts w:hint="default" w:ascii="宋体" w:hAnsi="宋体" w:eastAsia="宋体"/>
                <w:b w:val="0"/>
                <w:i w:val="0"/>
                <w:snapToGrid/>
                <w:color w:val="000000"/>
                <w:sz w:val="30"/>
                <w:szCs w:val="30"/>
                <w:u w:val="none"/>
                <w:lang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85" w:hRule="atLeast"/>
        </w:trPr>
        <w:tc>
          <w:tcPr>
            <w:tcW w:w="33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59"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59"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393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2955"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5590" w:type="dxa"/>
            <w:gridSpan w:val="2"/>
            <w:noWrap w:val="0"/>
            <w:vAlign w:val="bottom"/>
          </w:tcPr>
          <w:p>
            <w:pPr>
              <w:kinsoku/>
              <w:autoSpaceDE/>
              <w:autoSpaceDN w:val="0"/>
              <w:jc w:val="righ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85" w:hRule="atLeast"/>
        </w:trPr>
        <w:tc>
          <w:tcPr>
            <w:tcW w:w="9133" w:type="dxa"/>
            <w:gridSpan w:val="5"/>
            <w:noWrap w:val="0"/>
            <w:vAlign w:val="bottom"/>
          </w:tcPr>
          <w:p>
            <w:pPr>
              <w:kinsoku/>
              <w:autoSpaceDE/>
              <w:autoSpaceDN w:val="0"/>
              <w:jc w:val="lef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部门：许昌市河湖管理中心</w:t>
            </w:r>
          </w:p>
        </w:tc>
        <w:tc>
          <w:tcPr>
            <w:tcW w:w="5590" w:type="dxa"/>
            <w:gridSpan w:val="2"/>
            <w:noWrap w:val="0"/>
            <w:vAlign w:val="bottom"/>
          </w:tcPr>
          <w:p>
            <w:pPr>
              <w:kinsoku/>
              <w:autoSpaceDE/>
              <w:autoSpaceDN w:val="0"/>
              <w:jc w:val="righ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178"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项目</w:t>
            </w:r>
          </w:p>
        </w:tc>
        <w:tc>
          <w:tcPr>
            <w:tcW w:w="8545" w:type="dxa"/>
            <w:gridSpan w:val="3"/>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vMerge w:val="restart"/>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功能分类科目编码</w:t>
            </w:r>
          </w:p>
        </w:tc>
        <w:tc>
          <w:tcPr>
            <w:tcW w:w="3930"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科目名称</w:t>
            </w:r>
          </w:p>
        </w:tc>
        <w:tc>
          <w:tcPr>
            <w:tcW w:w="2955"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小计</w:t>
            </w:r>
          </w:p>
        </w:tc>
        <w:tc>
          <w:tcPr>
            <w:tcW w:w="2715"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基本支出</w:t>
            </w:r>
          </w:p>
        </w:tc>
        <w:tc>
          <w:tcPr>
            <w:tcW w:w="2875"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70" w:hRule="atLeast"/>
        </w:trPr>
        <w:tc>
          <w:tcPr>
            <w:tcW w:w="2248" w:type="dxa"/>
            <w:gridSpan w:val="3"/>
            <w:vMerge w:val="continue"/>
            <w:tcBorders>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napToGrid/>
                <w:sz w:val="24"/>
              </w:rPr>
            </w:pPr>
          </w:p>
        </w:tc>
        <w:tc>
          <w:tcPr>
            <w:tcW w:w="3930"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2955"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2715"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2875"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vMerge w:val="continue"/>
            <w:tcBorders>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napToGrid/>
                <w:sz w:val="24"/>
              </w:rPr>
            </w:pPr>
          </w:p>
        </w:tc>
        <w:tc>
          <w:tcPr>
            <w:tcW w:w="3930"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2955"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2715"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2875"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178" w:type="dxa"/>
            <w:gridSpan w:val="4"/>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栏次</w:t>
            </w:r>
          </w:p>
        </w:tc>
        <w:tc>
          <w:tcPr>
            <w:tcW w:w="295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271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w:t>
            </w:r>
          </w:p>
        </w:tc>
        <w:tc>
          <w:tcPr>
            <w:tcW w:w="287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178" w:type="dxa"/>
            <w:gridSpan w:val="4"/>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合计</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68.84</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65.90</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r>
              <w:rPr>
                <w:rFonts w:hint="default" w:ascii="宋体" w:hAnsi="宋体" w:eastAsia="宋体"/>
                <w:b/>
                <w:i w:val="0"/>
                <w:snapToGrid/>
                <w:color w:val="000000"/>
                <w:sz w:val="22"/>
                <w:u w:val="none"/>
                <w:lang w:eastAsia="zh-CN"/>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201</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一般公共服务支出</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20129</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群众团体事务</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2012906</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工会事务</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208</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社会保障和就业支出</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20805</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行政事业单位养老支出</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2080505</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机关事业单位基本养老保险缴费支出</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3.55</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210</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卫生健康支出</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21011</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行政事业单位医疗</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2101102</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事业单位医疗</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1.61</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213</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农林水支出</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63.40</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60.46</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21303</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水利</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63.40</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60.46</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2130304</w:t>
            </w: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水利行业业务管理</w:t>
            </w: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63.40</w:t>
            </w: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60.46</w:t>
            </w: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2248"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93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95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7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287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14723" w:type="dxa"/>
            <w:gridSpan w:val="7"/>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szCs w:val="22"/>
                <w:u w:val="none"/>
                <w:lang w:eastAsia="zh-CN"/>
              </w:rPr>
              <w:t>注：本表反映部门本年度一般公共预算财政拨款支出情况。</w:t>
            </w:r>
            <w:r>
              <w:rPr>
                <w:rFonts w:hint="eastAsia" w:ascii="宋体" w:hAnsi="宋体" w:eastAsia="宋体"/>
                <w:b w:val="0"/>
                <w:i w:val="0"/>
                <w:snapToGrid/>
                <w:color w:val="000000"/>
                <w:sz w:val="22"/>
                <w:szCs w:val="22"/>
                <w:u w:val="none"/>
                <w:lang w:eastAsia="zh-CN"/>
              </w:rPr>
              <w:t>本表金额转换为万元时，因四舍五入可能存在尾差</w:t>
            </w:r>
            <w:r>
              <w:rPr>
                <w:rFonts w:hint="default" w:ascii="宋体" w:hAnsi="宋体" w:eastAsia="宋体"/>
                <w:b w:val="0"/>
                <w:i w:val="0"/>
                <w:snapToGrid/>
                <w:color w:val="000000"/>
                <w:sz w:val="22"/>
                <w:szCs w:val="22"/>
                <w:u w:val="none"/>
                <w:lang w:eastAsia="zh-CN"/>
              </w:rPr>
              <w:t>。</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629"/>
        <w:gridCol w:w="2532"/>
        <w:gridCol w:w="1015"/>
        <w:gridCol w:w="629"/>
        <w:gridCol w:w="2159"/>
        <w:gridCol w:w="1066"/>
        <w:gridCol w:w="629"/>
        <w:gridCol w:w="3033"/>
        <w:gridCol w:w="3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90" w:hRule="atLeast"/>
        </w:trPr>
        <w:tc>
          <w:tcPr>
            <w:tcW w:w="14725" w:type="dxa"/>
            <w:gridSpan w:val="9"/>
            <w:noWrap w:val="0"/>
            <w:vAlign w:val="bottom"/>
          </w:tcPr>
          <w:p>
            <w:pPr>
              <w:kinsoku/>
              <w:autoSpaceDE/>
              <w:autoSpaceDN w:val="0"/>
              <w:jc w:val="center"/>
              <w:textAlignment w:val="bottom"/>
              <w:rPr>
                <w:rFonts w:hint="default" w:ascii="宋体" w:hAnsi="宋体" w:eastAsia="宋体"/>
                <w:b w:val="0"/>
                <w:i w:val="0"/>
                <w:snapToGrid/>
                <w:color w:val="000000"/>
                <w:sz w:val="30"/>
                <w:u w:val="none"/>
                <w:lang w:eastAsia="zh-CN"/>
              </w:rPr>
            </w:pPr>
            <w:r>
              <w:rPr>
                <w:rFonts w:hint="default" w:ascii="宋体" w:hAnsi="宋体" w:eastAsia="宋体"/>
                <w:b w:val="0"/>
                <w:i w:val="0"/>
                <w:snapToGrid/>
                <w:color w:val="000000"/>
                <w:sz w:val="30"/>
                <w:szCs w:val="30"/>
                <w:u w:val="none"/>
                <w:lang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85" w:hRule="atLeast"/>
        </w:trPr>
        <w:tc>
          <w:tcPr>
            <w:tcW w:w="629" w:type="dxa"/>
            <w:noWrap w:val="0"/>
            <w:vAlign w:val="bottom"/>
          </w:tcPr>
          <w:p>
            <w:pPr>
              <w:kinsoku/>
              <w:autoSpaceDE/>
              <w:autoSpaceDN w:val="0"/>
              <w:jc w:val="left"/>
              <w:textAlignment w:val="bottom"/>
              <w:rPr>
                <w:rFonts w:hint="default" w:ascii="Arial" w:hAnsi="宋体"/>
                <w:b w:val="0"/>
                <w:i w:val="0"/>
                <w:snapToGrid/>
                <w:color w:val="000000"/>
                <w:sz w:val="20"/>
                <w:szCs w:val="20"/>
                <w:u w:val="none"/>
              </w:rPr>
            </w:pPr>
          </w:p>
        </w:tc>
        <w:tc>
          <w:tcPr>
            <w:tcW w:w="2532" w:type="dxa"/>
            <w:noWrap w:val="0"/>
            <w:vAlign w:val="bottom"/>
          </w:tcPr>
          <w:p>
            <w:pPr>
              <w:kinsoku/>
              <w:autoSpaceDE/>
              <w:autoSpaceDN w:val="0"/>
              <w:jc w:val="left"/>
              <w:textAlignment w:val="bottom"/>
              <w:rPr>
                <w:rFonts w:hint="default" w:ascii="Arial" w:hAnsi="宋体"/>
                <w:b w:val="0"/>
                <w:i w:val="0"/>
                <w:snapToGrid/>
                <w:color w:val="000000"/>
                <w:sz w:val="20"/>
                <w:szCs w:val="20"/>
                <w:u w:val="none"/>
              </w:rPr>
            </w:pPr>
          </w:p>
        </w:tc>
        <w:tc>
          <w:tcPr>
            <w:tcW w:w="1015" w:type="dxa"/>
            <w:noWrap w:val="0"/>
            <w:vAlign w:val="bottom"/>
          </w:tcPr>
          <w:p>
            <w:pPr>
              <w:kinsoku/>
              <w:autoSpaceDE/>
              <w:autoSpaceDN w:val="0"/>
              <w:jc w:val="left"/>
              <w:textAlignment w:val="bottom"/>
              <w:rPr>
                <w:rFonts w:hint="default" w:ascii="Arial" w:hAnsi="宋体"/>
                <w:b w:val="0"/>
                <w:i w:val="0"/>
                <w:snapToGrid/>
                <w:color w:val="000000"/>
                <w:sz w:val="20"/>
                <w:szCs w:val="20"/>
                <w:u w:val="none"/>
              </w:rPr>
            </w:pPr>
          </w:p>
        </w:tc>
        <w:tc>
          <w:tcPr>
            <w:tcW w:w="629" w:type="dxa"/>
            <w:noWrap w:val="0"/>
            <w:vAlign w:val="bottom"/>
          </w:tcPr>
          <w:p>
            <w:pPr>
              <w:kinsoku/>
              <w:autoSpaceDE/>
              <w:autoSpaceDN w:val="0"/>
              <w:jc w:val="left"/>
              <w:textAlignment w:val="bottom"/>
              <w:rPr>
                <w:rFonts w:hint="default" w:ascii="Arial" w:hAnsi="宋体"/>
                <w:b w:val="0"/>
                <w:i w:val="0"/>
                <w:snapToGrid/>
                <w:color w:val="000000"/>
                <w:sz w:val="20"/>
                <w:szCs w:val="20"/>
                <w:u w:val="none"/>
              </w:rPr>
            </w:pPr>
          </w:p>
        </w:tc>
        <w:tc>
          <w:tcPr>
            <w:tcW w:w="2159" w:type="dxa"/>
            <w:noWrap w:val="0"/>
            <w:vAlign w:val="bottom"/>
          </w:tcPr>
          <w:p>
            <w:pPr>
              <w:kinsoku/>
              <w:autoSpaceDE/>
              <w:autoSpaceDN w:val="0"/>
              <w:jc w:val="left"/>
              <w:textAlignment w:val="bottom"/>
              <w:rPr>
                <w:rFonts w:hint="default" w:ascii="Arial" w:hAnsi="宋体"/>
                <w:b w:val="0"/>
                <w:i w:val="0"/>
                <w:snapToGrid/>
                <w:color w:val="000000"/>
                <w:sz w:val="20"/>
                <w:szCs w:val="20"/>
                <w:u w:val="none"/>
              </w:rPr>
            </w:pPr>
          </w:p>
        </w:tc>
        <w:tc>
          <w:tcPr>
            <w:tcW w:w="1066" w:type="dxa"/>
            <w:noWrap w:val="0"/>
            <w:vAlign w:val="bottom"/>
          </w:tcPr>
          <w:p>
            <w:pPr>
              <w:kinsoku/>
              <w:autoSpaceDE/>
              <w:autoSpaceDN w:val="0"/>
              <w:jc w:val="left"/>
              <w:textAlignment w:val="bottom"/>
              <w:rPr>
                <w:rFonts w:hint="default" w:ascii="Arial" w:hAnsi="宋体"/>
                <w:b w:val="0"/>
                <w:i w:val="0"/>
                <w:snapToGrid/>
                <w:color w:val="000000"/>
                <w:sz w:val="20"/>
                <w:szCs w:val="20"/>
                <w:u w:val="none"/>
              </w:rPr>
            </w:pPr>
          </w:p>
        </w:tc>
        <w:tc>
          <w:tcPr>
            <w:tcW w:w="629" w:type="dxa"/>
            <w:noWrap w:val="0"/>
            <w:vAlign w:val="bottom"/>
          </w:tcPr>
          <w:p>
            <w:pPr>
              <w:kinsoku/>
              <w:autoSpaceDE/>
              <w:autoSpaceDN w:val="0"/>
              <w:jc w:val="left"/>
              <w:textAlignment w:val="bottom"/>
              <w:rPr>
                <w:rFonts w:hint="default" w:ascii="Arial" w:hAnsi="宋体"/>
                <w:b w:val="0"/>
                <w:i w:val="0"/>
                <w:snapToGrid/>
                <w:color w:val="000000"/>
                <w:sz w:val="20"/>
                <w:szCs w:val="20"/>
                <w:u w:val="none"/>
              </w:rPr>
            </w:pPr>
          </w:p>
        </w:tc>
        <w:tc>
          <w:tcPr>
            <w:tcW w:w="6066" w:type="dxa"/>
            <w:gridSpan w:val="2"/>
            <w:noWrap w:val="0"/>
            <w:vAlign w:val="bottom"/>
          </w:tcPr>
          <w:p>
            <w:pPr>
              <w:kinsoku/>
              <w:autoSpaceDE/>
              <w:autoSpaceDN w:val="0"/>
              <w:jc w:val="right"/>
              <w:textAlignment w:val="bottom"/>
              <w:rPr>
                <w:rFonts w:hint="default" w:ascii="宋体" w:hAnsi="宋体" w:eastAsia="宋体"/>
                <w:b w:val="0"/>
                <w:i w:val="0"/>
                <w:snapToGrid/>
                <w:color w:val="000000"/>
                <w:sz w:val="20"/>
                <w:szCs w:val="20"/>
                <w:u w:val="none"/>
                <w:lang w:eastAsia="zh-CN"/>
              </w:rPr>
            </w:pPr>
            <w:r>
              <w:rPr>
                <w:rFonts w:hint="default" w:ascii="宋体" w:hAnsi="宋体" w:eastAsia="宋体"/>
                <w:b w:val="0"/>
                <w:i w:val="0"/>
                <w:snapToGrid/>
                <w:color w:val="000000"/>
                <w:sz w:val="20"/>
                <w:szCs w:val="20"/>
                <w:u w:val="none"/>
                <w:lang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85" w:hRule="atLeast"/>
        </w:trPr>
        <w:tc>
          <w:tcPr>
            <w:tcW w:w="4805" w:type="dxa"/>
            <w:gridSpan w:val="4"/>
            <w:noWrap w:val="0"/>
            <w:vAlign w:val="bottom"/>
          </w:tcPr>
          <w:p>
            <w:pPr>
              <w:kinsoku/>
              <w:autoSpaceDE/>
              <w:autoSpaceDN w:val="0"/>
              <w:jc w:val="left"/>
              <w:textAlignment w:val="bottom"/>
              <w:rPr>
                <w:rFonts w:hint="default" w:ascii="宋体" w:hAnsi="宋体" w:eastAsia="宋体"/>
                <w:b w:val="0"/>
                <w:i w:val="0"/>
                <w:snapToGrid/>
                <w:color w:val="000000"/>
                <w:sz w:val="20"/>
                <w:szCs w:val="20"/>
                <w:u w:val="none"/>
                <w:lang w:eastAsia="zh-CN"/>
              </w:rPr>
            </w:pPr>
            <w:r>
              <w:rPr>
                <w:rFonts w:hint="default" w:ascii="宋体" w:hAnsi="宋体" w:eastAsia="宋体"/>
                <w:b w:val="0"/>
                <w:i w:val="0"/>
                <w:snapToGrid/>
                <w:color w:val="000000"/>
                <w:sz w:val="20"/>
                <w:szCs w:val="20"/>
                <w:u w:val="none"/>
                <w:lang w:eastAsia="zh-CN"/>
              </w:rPr>
              <w:t>部门：许昌市河湖管理中心</w:t>
            </w:r>
          </w:p>
        </w:tc>
        <w:tc>
          <w:tcPr>
            <w:tcW w:w="2159" w:type="dxa"/>
            <w:noWrap w:val="0"/>
            <w:vAlign w:val="bottom"/>
          </w:tcPr>
          <w:p>
            <w:pPr>
              <w:kinsoku/>
              <w:autoSpaceDE/>
              <w:autoSpaceDN w:val="0"/>
              <w:jc w:val="left"/>
              <w:textAlignment w:val="bottom"/>
              <w:rPr>
                <w:rFonts w:hint="default" w:ascii="Arial" w:hAnsi="宋体"/>
                <w:b w:val="0"/>
                <w:i w:val="0"/>
                <w:snapToGrid/>
                <w:color w:val="000000"/>
                <w:sz w:val="20"/>
                <w:szCs w:val="20"/>
                <w:u w:val="none"/>
              </w:rPr>
            </w:pPr>
          </w:p>
        </w:tc>
        <w:tc>
          <w:tcPr>
            <w:tcW w:w="1066" w:type="dxa"/>
            <w:noWrap w:val="0"/>
            <w:vAlign w:val="bottom"/>
          </w:tcPr>
          <w:p>
            <w:pPr>
              <w:kinsoku/>
              <w:autoSpaceDE/>
              <w:autoSpaceDN w:val="0"/>
              <w:jc w:val="left"/>
              <w:textAlignment w:val="bottom"/>
              <w:rPr>
                <w:rFonts w:hint="default" w:ascii="Arial" w:hAnsi="宋体"/>
                <w:b w:val="0"/>
                <w:i w:val="0"/>
                <w:snapToGrid/>
                <w:color w:val="000000"/>
                <w:sz w:val="20"/>
                <w:szCs w:val="20"/>
                <w:u w:val="none"/>
              </w:rPr>
            </w:pPr>
          </w:p>
        </w:tc>
        <w:tc>
          <w:tcPr>
            <w:tcW w:w="629" w:type="dxa"/>
            <w:noWrap w:val="0"/>
            <w:vAlign w:val="bottom"/>
          </w:tcPr>
          <w:p>
            <w:pPr>
              <w:kinsoku/>
              <w:autoSpaceDE/>
              <w:autoSpaceDN w:val="0"/>
              <w:jc w:val="left"/>
              <w:textAlignment w:val="bottom"/>
              <w:rPr>
                <w:rFonts w:hint="default" w:ascii="Arial" w:hAnsi="宋体"/>
                <w:b w:val="0"/>
                <w:i w:val="0"/>
                <w:snapToGrid/>
                <w:color w:val="000000"/>
                <w:sz w:val="20"/>
                <w:szCs w:val="20"/>
                <w:u w:val="none"/>
              </w:rPr>
            </w:pPr>
          </w:p>
        </w:tc>
        <w:tc>
          <w:tcPr>
            <w:tcW w:w="6066" w:type="dxa"/>
            <w:gridSpan w:val="2"/>
            <w:noWrap w:val="0"/>
            <w:vAlign w:val="bottom"/>
          </w:tcPr>
          <w:p>
            <w:pPr>
              <w:kinsoku/>
              <w:autoSpaceDE/>
              <w:autoSpaceDN w:val="0"/>
              <w:jc w:val="right"/>
              <w:textAlignment w:val="bottom"/>
              <w:rPr>
                <w:rFonts w:hint="default" w:ascii="宋体" w:hAnsi="宋体" w:eastAsia="宋体"/>
                <w:b w:val="0"/>
                <w:i w:val="0"/>
                <w:snapToGrid/>
                <w:color w:val="000000"/>
                <w:sz w:val="20"/>
                <w:szCs w:val="20"/>
                <w:u w:val="none"/>
                <w:lang w:eastAsia="zh-CN"/>
              </w:rPr>
            </w:pPr>
            <w:r>
              <w:rPr>
                <w:rFonts w:hint="default" w:ascii="宋体" w:hAnsi="宋体" w:eastAsia="宋体"/>
                <w:b w:val="0"/>
                <w:i w:val="0"/>
                <w:snapToGrid/>
                <w:color w:val="000000"/>
                <w:sz w:val="20"/>
                <w:szCs w:val="20"/>
                <w:u w:val="none"/>
                <w:lang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4176"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人员经费</w:t>
            </w:r>
          </w:p>
        </w:tc>
        <w:tc>
          <w:tcPr>
            <w:tcW w:w="10549" w:type="dxa"/>
            <w:gridSpan w:val="6"/>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vMerge w:val="restart"/>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科目编码</w:t>
            </w:r>
          </w:p>
        </w:tc>
        <w:tc>
          <w:tcPr>
            <w:tcW w:w="2532"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科目名称</w:t>
            </w:r>
          </w:p>
        </w:tc>
        <w:tc>
          <w:tcPr>
            <w:tcW w:w="1015"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决算数</w:t>
            </w:r>
          </w:p>
        </w:tc>
        <w:tc>
          <w:tcPr>
            <w:tcW w:w="629"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科目编码</w:t>
            </w:r>
          </w:p>
        </w:tc>
        <w:tc>
          <w:tcPr>
            <w:tcW w:w="2159"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科目名称</w:t>
            </w:r>
          </w:p>
        </w:tc>
        <w:tc>
          <w:tcPr>
            <w:tcW w:w="1066"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决算数</w:t>
            </w:r>
          </w:p>
        </w:tc>
        <w:tc>
          <w:tcPr>
            <w:tcW w:w="629"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科目编码</w:t>
            </w:r>
          </w:p>
        </w:tc>
        <w:tc>
          <w:tcPr>
            <w:tcW w:w="3033"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科目名称</w:t>
            </w:r>
          </w:p>
        </w:tc>
        <w:tc>
          <w:tcPr>
            <w:tcW w:w="3033"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vMerge w:val="continue"/>
            <w:tcBorders>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napToGrid/>
                <w:sz w:val="24"/>
              </w:rPr>
            </w:pPr>
          </w:p>
        </w:tc>
        <w:tc>
          <w:tcPr>
            <w:tcW w:w="2532"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1015"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629"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2159"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1066"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629"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3033"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c>
          <w:tcPr>
            <w:tcW w:w="3033" w:type="dxa"/>
            <w:vMerge w:val="continue"/>
            <w:tcBorders>
              <w:bottom w:val="single" w:color="000000" w:sz="4" w:space="0"/>
              <w:right w:val="single" w:color="000000" w:sz="4" w:space="0"/>
            </w:tcBorders>
            <w:noWrap w:val="0"/>
            <w:vAlign w:val="center"/>
          </w:tcPr>
          <w:p>
            <w:pP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工资福利支出</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56.57</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商品和服务支出</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8.81</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307</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债务利息及费用支出</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30101</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基本工资</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15.75</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30201</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办公费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1.54</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30701</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国内债务付息</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30102</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津贴补贴</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6.07</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30202</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印刷费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2.09</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30702</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国外债务付息</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30103</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奖金</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8.50</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30203</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咨询费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资本性支出</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30106</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伙食补助费</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30204</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手续费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31001</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房屋建筑物购建</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30107</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绩效工资</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17.55</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30205</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水费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0.02</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31002</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办公设备购置</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30108</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机关事业单位基本养老保险缴费</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3.62</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30206</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电费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0.14</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31003</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专用设备购置</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30109</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职业年金缴费</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30207</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邮电费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31005</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基础设施建设</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30110</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职工基本医疗保险缴费</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1.66</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30208</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取暖费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0.11</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31006</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大型修缮</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30111</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公务员医疗补助缴费</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30209</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物业管理费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0.34</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31007</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信息网络及软件购置更新</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30112</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其他社会保障缴费</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0.20</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30211</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差旅费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0.36</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31008</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物资储备</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30113</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住房公积金</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3.22</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30212</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因公出国（境）费用</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31009</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土地补偿</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30114</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医疗费</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30213</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维修（护）费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0.17</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31010</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安置补助</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30199</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其他工资福利支出</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30214</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租赁费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31011</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地上附着物和青苗补偿</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对个人和家庭的补助</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30215</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会议费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0.54</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31012</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拆迁补偿</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30301</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离休费</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30216</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培训费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0.01</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31013</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公务用车购置</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30302</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退休费</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30217</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公务接待费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31019</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其他交通工具购置</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30303</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退职（役）费</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30218</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专用材料费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31021</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文物和陈列品购置</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30304</w:t>
            </w:r>
          </w:p>
        </w:tc>
        <w:tc>
          <w:tcPr>
            <w:tcW w:w="253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抚恤金</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30224</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被装购置费</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31022</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无形资产购置</w:t>
            </w:r>
          </w:p>
        </w:tc>
        <w:tc>
          <w:tcPr>
            <w:tcW w:w="303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30305</w:t>
            </w:r>
          </w:p>
        </w:tc>
        <w:tc>
          <w:tcPr>
            <w:tcW w:w="2532" w:type="dxa"/>
            <w:tcBorders>
              <w:top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生活补助</w:t>
            </w:r>
          </w:p>
        </w:tc>
        <w:tc>
          <w:tcPr>
            <w:tcW w:w="1015" w:type="dxa"/>
            <w:tcBorders>
              <w:top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top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30225</w:t>
            </w:r>
          </w:p>
        </w:tc>
        <w:tc>
          <w:tcPr>
            <w:tcW w:w="2159" w:type="dxa"/>
            <w:tcBorders>
              <w:top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专用燃料费</w:t>
            </w:r>
          </w:p>
        </w:tc>
        <w:tc>
          <w:tcPr>
            <w:tcW w:w="1066" w:type="dxa"/>
            <w:tcBorders>
              <w:top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top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31099</w:t>
            </w:r>
          </w:p>
        </w:tc>
        <w:tc>
          <w:tcPr>
            <w:tcW w:w="3033" w:type="dxa"/>
            <w:tcBorders>
              <w:top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其他资本性支出</w:t>
            </w:r>
          </w:p>
        </w:tc>
        <w:tc>
          <w:tcPr>
            <w:tcW w:w="3033" w:type="dxa"/>
            <w:tcBorders>
              <w:top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30306</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救济费</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30226</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劳务费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399</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其他支出</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30307</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医疗费补助</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30227</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委托业务费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39906</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赠与</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30308</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助学金</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30228</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工会经费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0.28</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39907</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国家赔偿费用支出</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30309</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奖励金</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30229</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福利费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0.29</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39908</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对民间非营利组织和群众性自治组织补贴</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30310</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个人农业生产补贴</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30231</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公务用车运行维护费</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39999</w:t>
            </w: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其他支出</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30311</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代缴社会保险费</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30239</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其他交通费用</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2.93</w:t>
            </w: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30399</w:t>
            </w: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其他对个人和家庭的补助</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30240</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税金及附加费用</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629" w:type="dxa"/>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532"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30299</w:t>
            </w:r>
          </w:p>
        </w:tc>
        <w:tc>
          <w:tcPr>
            <w:tcW w:w="215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 xml:space="preserve">  其他商品和服务支出</w:t>
            </w:r>
          </w:p>
        </w:tc>
        <w:tc>
          <w:tcPr>
            <w:tcW w:w="1066"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629"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033"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90" w:hRule="atLeast"/>
        </w:trPr>
        <w:tc>
          <w:tcPr>
            <w:tcW w:w="3161" w:type="dxa"/>
            <w:gridSpan w:val="2"/>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人员经费合计</w:t>
            </w:r>
          </w:p>
        </w:tc>
        <w:tc>
          <w:tcPr>
            <w:tcW w:w="10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56.57</w:t>
            </w:r>
          </w:p>
        </w:tc>
        <w:tc>
          <w:tcPr>
            <w:tcW w:w="7516" w:type="dxa"/>
            <w:gridSpan w:val="5"/>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公用经费合计</w:t>
            </w:r>
          </w:p>
        </w:tc>
        <w:tc>
          <w:tcPr>
            <w:tcW w:w="303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14725" w:type="dxa"/>
            <w:gridSpan w:val="9"/>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szCs w:val="22"/>
                <w:u w:val="none"/>
                <w:lang w:eastAsia="zh-CN"/>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1368"/>
        <w:gridCol w:w="931"/>
        <w:gridCol w:w="931"/>
        <w:gridCol w:w="1615"/>
        <w:gridCol w:w="1731"/>
        <w:gridCol w:w="1659"/>
        <w:gridCol w:w="1368"/>
        <w:gridCol w:w="931"/>
        <w:gridCol w:w="931"/>
        <w:gridCol w:w="931"/>
        <w:gridCol w:w="931"/>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40" w:hRule="atLeast"/>
        </w:trPr>
        <w:tc>
          <w:tcPr>
            <w:tcW w:w="14695" w:type="dxa"/>
            <w:gridSpan w:val="12"/>
            <w:noWrap w:val="0"/>
            <w:vAlign w:val="bottom"/>
          </w:tcPr>
          <w:p>
            <w:pPr>
              <w:kinsoku/>
              <w:autoSpaceDE/>
              <w:autoSpaceDN w:val="0"/>
              <w:jc w:val="center"/>
              <w:textAlignment w:val="bottom"/>
              <w:rPr>
                <w:rFonts w:hint="default" w:ascii="宋体" w:hAnsi="宋体" w:eastAsia="宋体"/>
                <w:b w:val="0"/>
                <w:i w:val="0"/>
                <w:snapToGrid/>
                <w:color w:val="000000"/>
                <w:sz w:val="44"/>
                <w:highlight w:val="none"/>
                <w:u w:val="none"/>
                <w:lang w:eastAsia="zh-CN"/>
              </w:rPr>
            </w:pPr>
            <w:r>
              <w:rPr>
                <w:rFonts w:hint="default" w:ascii="宋体" w:hAnsi="宋体" w:eastAsia="宋体"/>
                <w:b w:val="0"/>
                <w:i w:val="0"/>
                <w:snapToGrid/>
                <w:color w:val="000000"/>
                <w:sz w:val="30"/>
                <w:szCs w:val="30"/>
                <w:highlight w:val="none"/>
                <w:u w:val="none"/>
                <w:lang w:eastAsia="zh-CN"/>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85" w:hRule="atLeast"/>
        </w:trPr>
        <w:tc>
          <w:tcPr>
            <w:tcW w:w="1368"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931"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931"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1615"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1731"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1659"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1368"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931"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931"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3230" w:type="dxa"/>
            <w:gridSpan w:val="3"/>
            <w:noWrap w:val="0"/>
            <w:vAlign w:val="bottom"/>
          </w:tcPr>
          <w:p>
            <w:pPr>
              <w:kinsoku/>
              <w:autoSpaceDE/>
              <w:autoSpaceDN w:val="0"/>
              <w:jc w:val="right"/>
              <w:textAlignment w:val="bottom"/>
              <w:rPr>
                <w:rFonts w:hint="default" w:ascii="宋体" w:hAnsi="宋体" w:eastAsia="宋体"/>
                <w:b w:val="0"/>
                <w:i w:val="0"/>
                <w:snapToGrid/>
                <w:color w:val="000000"/>
                <w:sz w:val="20"/>
                <w:highlight w:val="none"/>
                <w:u w:val="none"/>
                <w:lang w:eastAsia="zh-CN"/>
              </w:rPr>
            </w:pPr>
            <w:r>
              <w:rPr>
                <w:rFonts w:hint="default" w:ascii="宋体" w:hAnsi="宋体" w:eastAsia="宋体"/>
                <w:b w:val="0"/>
                <w:i w:val="0"/>
                <w:snapToGrid/>
                <w:color w:val="000000"/>
                <w:sz w:val="20"/>
                <w:highlight w:val="none"/>
                <w:u w:val="none"/>
                <w:lang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285" w:hRule="atLeast"/>
        </w:trPr>
        <w:tc>
          <w:tcPr>
            <w:tcW w:w="6576" w:type="dxa"/>
            <w:gridSpan w:val="5"/>
            <w:noWrap w:val="0"/>
            <w:vAlign w:val="bottom"/>
          </w:tcPr>
          <w:p>
            <w:pPr>
              <w:kinsoku/>
              <w:autoSpaceDE/>
              <w:autoSpaceDN w:val="0"/>
              <w:jc w:val="left"/>
              <w:textAlignment w:val="bottom"/>
              <w:rPr>
                <w:rFonts w:hint="default" w:ascii="宋体" w:hAnsi="宋体" w:eastAsia="宋体"/>
                <w:b w:val="0"/>
                <w:i w:val="0"/>
                <w:snapToGrid/>
                <w:color w:val="000000"/>
                <w:sz w:val="20"/>
                <w:highlight w:val="none"/>
                <w:u w:val="none"/>
                <w:lang w:eastAsia="zh-CN"/>
              </w:rPr>
            </w:pPr>
            <w:r>
              <w:rPr>
                <w:rFonts w:hint="default" w:ascii="宋体" w:hAnsi="宋体" w:eastAsia="宋体"/>
                <w:b w:val="0"/>
                <w:i w:val="0"/>
                <w:snapToGrid/>
                <w:color w:val="000000"/>
                <w:sz w:val="20"/>
                <w:highlight w:val="none"/>
                <w:u w:val="none"/>
                <w:lang w:eastAsia="zh-CN"/>
              </w:rPr>
              <w:t>部门：许昌市河湖管理中心</w:t>
            </w:r>
          </w:p>
        </w:tc>
        <w:tc>
          <w:tcPr>
            <w:tcW w:w="1659"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1368"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931"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931" w:type="dxa"/>
            <w:noWrap w:val="0"/>
            <w:vAlign w:val="bottom"/>
          </w:tcPr>
          <w:p>
            <w:pPr>
              <w:kinsoku/>
              <w:autoSpaceDE/>
              <w:autoSpaceDN w:val="0"/>
              <w:jc w:val="left"/>
              <w:textAlignment w:val="bottom"/>
              <w:rPr>
                <w:rFonts w:hint="default" w:ascii="Arial" w:hAnsi="宋体"/>
                <w:b w:val="0"/>
                <w:i w:val="0"/>
                <w:snapToGrid/>
                <w:color w:val="000000"/>
                <w:sz w:val="20"/>
                <w:highlight w:val="none"/>
                <w:u w:val="none"/>
              </w:rPr>
            </w:pPr>
          </w:p>
        </w:tc>
        <w:tc>
          <w:tcPr>
            <w:tcW w:w="3230" w:type="dxa"/>
            <w:gridSpan w:val="3"/>
            <w:noWrap w:val="0"/>
            <w:vAlign w:val="bottom"/>
          </w:tcPr>
          <w:p>
            <w:pPr>
              <w:kinsoku/>
              <w:autoSpaceDE/>
              <w:autoSpaceDN w:val="0"/>
              <w:jc w:val="right"/>
              <w:textAlignment w:val="bottom"/>
              <w:rPr>
                <w:rFonts w:hint="default" w:ascii="宋体" w:hAnsi="宋体" w:eastAsia="宋体"/>
                <w:b w:val="0"/>
                <w:i w:val="0"/>
                <w:snapToGrid/>
                <w:color w:val="000000"/>
                <w:sz w:val="20"/>
                <w:highlight w:val="none"/>
                <w:u w:val="none"/>
                <w:lang w:eastAsia="zh-CN"/>
              </w:rPr>
            </w:pPr>
            <w:r>
              <w:rPr>
                <w:rFonts w:hint="default" w:ascii="宋体" w:hAnsi="宋体" w:eastAsia="宋体"/>
                <w:b w:val="0"/>
                <w:i w:val="0"/>
                <w:snapToGrid/>
                <w:color w:val="000000"/>
                <w:sz w:val="20"/>
                <w:highlight w:val="none"/>
                <w:u w:val="none"/>
                <w:lang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8235" w:type="dxa"/>
            <w:gridSpan w:val="6"/>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预算数</w:t>
            </w:r>
          </w:p>
        </w:tc>
        <w:tc>
          <w:tcPr>
            <w:tcW w:w="6460" w:type="dxa"/>
            <w:gridSpan w:val="6"/>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1368" w:type="dxa"/>
            <w:vMerge w:val="restart"/>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合计</w:t>
            </w:r>
          </w:p>
        </w:tc>
        <w:tc>
          <w:tcPr>
            <w:tcW w:w="931"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因公出国（境）费</w:t>
            </w:r>
          </w:p>
        </w:tc>
        <w:tc>
          <w:tcPr>
            <w:tcW w:w="4277" w:type="dxa"/>
            <w:gridSpan w:val="3"/>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公务用车购置及运行费</w:t>
            </w:r>
          </w:p>
        </w:tc>
        <w:tc>
          <w:tcPr>
            <w:tcW w:w="1659"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公务接待费</w:t>
            </w:r>
          </w:p>
        </w:tc>
        <w:tc>
          <w:tcPr>
            <w:tcW w:w="1368"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合计</w:t>
            </w:r>
          </w:p>
        </w:tc>
        <w:tc>
          <w:tcPr>
            <w:tcW w:w="931"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因公出国（境）费</w:t>
            </w:r>
          </w:p>
        </w:tc>
        <w:tc>
          <w:tcPr>
            <w:tcW w:w="2793" w:type="dxa"/>
            <w:gridSpan w:val="3"/>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公务用车购置及运行费</w:t>
            </w:r>
          </w:p>
        </w:tc>
        <w:tc>
          <w:tcPr>
            <w:tcW w:w="1368"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15" w:hRule="atLeast"/>
        </w:trPr>
        <w:tc>
          <w:tcPr>
            <w:tcW w:w="1368" w:type="dxa"/>
            <w:vMerge w:val="continue"/>
            <w:tcBorders>
              <w:left w:val="single" w:color="000000" w:sz="4" w:space="0"/>
              <w:bottom w:val="single" w:color="000000" w:sz="4" w:space="0"/>
              <w:right w:val="single" w:color="000000" w:sz="4" w:space="0"/>
            </w:tcBorders>
            <w:noWrap w:val="0"/>
            <w:vAlign w:val="center"/>
          </w:tcPr>
          <w:p>
            <w:pPr>
              <w:rPr>
                <w:rFonts w:hint="default" w:ascii="宋体" w:hAnsi="宋体"/>
                <w:sz w:val="24"/>
                <w:highlight w:val="none"/>
              </w:rPr>
            </w:pPr>
          </w:p>
        </w:tc>
        <w:tc>
          <w:tcPr>
            <w:tcW w:w="931" w:type="dxa"/>
            <w:vMerge w:val="continue"/>
            <w:tcBorders>
              <w:bottom w:val="single" w:color="000000" w:sz="4" w:space="0"/>
              <w:right w:val="single" w:color="000000" w:sz="4" w:space="0"/>
            </w:tcBorders>
            <w:noWrap w:val="0"/>
            <w:vAlign w:val="center"/>
          </w:tcPr>
          <w:p>
            <w:pPr>
              <w:kinsoku/>
              <w:autoSpaceDE/>
              <w:autoSpaceDN w:val="0"/>
              <w:textAlignment w:val="auto"/>
              <w:rPr>
                <w:rFonts w:hint="default" w:ascii="宋体" w:hAnsi="宋体"/>
                <w:sz w:val="24"/>
                <w:highlight w:val="none"/>
              </w:rPr>
            </w:pPr>
          </w:p>
        </w:tc>
        <w:tc>
          <w:tcPr>
            <w:tcW w:w="931"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小计</w:t>
            </w:r>
          </w:p>
        </w:tc>
        <w:tc>
          <w:tcPr>
            <w:tcW w:w="161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公务用车购置费</w:t>
            </w:r>
          </w:p>
        </w:tc>
        <w:tc>
          <w:tcPr>
            <w:tcW w:w="1731"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公务用车运行费</w:t>
            </w:r>
          </w:p>
        </w:tc>
        <w:tc>
          <w:tcPr>
            <w:tcW w:w="1659" w:type="dxa"/>
            <w:vMerge w:val="continue"/>
            <w:tcBorders>
              <w:bottom w:val="single" w:color="000000" w:sz="4" w:space="0"/>
              <w:right w:val="single" w:color="000000" w:sz="4" w:space="0"/>
            </w:tcBorders>
            <w:noWrap w:val="0"/>
            <w:vAlign w:val="center"/>
          </w:tcPr>
          <w:p>
            <w:pPr>
              <w:rPr>
                <w:rFonts w:hint="default" w:ascii="宋体" w:hAnsi="宋体"/>
                <w:sz w:val="24"/>
                <w:highlight w:val="none"/>
              </w:rPr>
            </w:pPr>
          </w:p>
        </w:tc>
        <w:tc>
          <w:tcPr>
            <w:tcW w:w="1368" w:type="dxa"/>
            <w:vMerge w:val="continue"/>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z w:val="24"/>
                <w:highlight w:val="none"/>
              </w:rPr>
            </w:pPr>
          </w:p>
        </w:tc>
        <w:tc>
          <w:tcPr>
            <w:tcW w:w="931" w:type="dxa"/>
            <w:vMerge w:val="continue"/>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z w:val="24"/>
                <w:highlight w:val="none"/>
              </w:rPr>
            </w:pPr>
          </w:p>
        </w:tc>
        <w:tc>
          <w:tcPr>
            <w:tcW w:w="931"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小计</w:t>
            </w:r>
          </w:p>
        </w:tc>
        <w:tc>
          <w:tcPr>
            <w:tcW w:w="931"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公务用车购置费</w:t>
            </w:r>
          </w:p>
        </w:tc>
        <w:tc>
          <w:tcPr>
            <w:tcW w:w="931"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公务用车运行费</w:t>
            </w:r>
          </w:p>
        </w:tc>
        <w:tc>
          <w:tcPr>
            <w:tcW w:w="1368" w:type="dxa"/>
            <w:vMerge w:val="continue"/>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42" w:hRule="atLeast"/>
        </w:trPr>
        <w:tc>
          <w:tcPr>
            <w:tcW w:w="1368"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1</w:t>
            </w:r>
          </w:p>
        </w:tc>
        <w:tc>
          <w:tcPr>
            <w:tcW w:w="931"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2</w:t>
            </w:r>
          </w:p>
        </w:tc>
        <w:tc>
          <w:tcPr>
            <w:tcW w:w="931"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3</w:t>
            </w:r>
          </w:p>
        </w:tc>
        <w:tc>
          <w:tcPr>
            <w:tcW w:w="161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4</w:t>
            </w:r>
          </w:p>
        </w:tc>
        <w:tc>
          <w:tcPr>
            <w:tcW w:w="1731"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5</w:t>
            </w:r>
          </w:p>
        </w:tc>
        <w:tc>
          <w:tcPr>
            <w:tcW w:w="1659"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6</w:t>
            </w:r>
          </w:p>
        </w:tc>
        <w:tc>
          <w:tcPr>
            <w:tcW w:w="1368"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7</w:t>
            </w:r>
          </w:p>
        </w:tc>
        <w:tc>
          <w:tcPr>
            <w:tcW w:w="931"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8</w:t>
            </w:r>
          </w:p>
        </w:tc>
        <w:tc>
          <w:tcPr>
            <w:tcW w:w="931"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9</w:t>
            </w:r>
          </w:p>
        </w:tc>
        <w:tc>
          <w:tcPr>
            <w:tcW w:w="931"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10</w:t>
            </w:r>
          </w:p>
        </w:tc>
        <w:tc>
          <w:tcPr>
            <w:tcW w:w="931"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11</w:t>
            </w:r>
          </w:p>
        </w:tc>
        <w:tc>
          <w:tcPr>
            <w:tcW w:w="1368"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highlight w:val="none"/>
                <w:u w:val="none"/>
                <w:lang w:eastAsia="zh-CN"/>
              </w:rPr>
            </w:pPr>
            <w:r>
              <w:rPr>
                <w:rFonts w:hint="default" w:ascii="宋体" w:hAnsi="宋体" w:eastAsia="宋体"/>
                <w:b w:val="0"/>
                <w:i w:val="0"/>
                <w:snapToGrid/>
                <w:color w:val="000000"/>
                <w:sz w:val="22"/>
                <w:highlight w:val="none"/>
                <w:u w:val="none"/>
                <w:lang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300" w:hRule="atLeast"/>
        </w:trPr>
        <w:tc>
          <w:tcPr>
            <w:tcW w:w="1368" w:type="dxa"/>
            <w:tcBorders>
              <w:left w:val="single" w:color="000000" w:sz="4" w:space="0"/>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highlight w:val="none"/>
                <w:u w:val="none"/>
                <w:lang w:val="en-US" w:eastAsia="zh-CN"/>
              </w:rPr>
            </w:pPr>
            <w:r>
              <w:rPr>
                <w:rFonts w:hint="eastAsia" w:ascii="宋体" w:hAnsi="宋体" w:eastAsia="宋体"/>
                <w:b w:val="0"/>
                <w:i w:val="0"/>
                <w:snapToGrid/>
                <w:color w:val="000000"/>
                <w:sz w:val="22"/>
                <w:highlight w:val="none"/>
                <w:u w:val="none"/>
                <w:lang w:val="en-US" w:eastAsia="zh-CN"/>
              </w:rPr>
              <w:t>0.10</w:t>
            </w:r>
          </w:p>
        </w:tc>
        <w:tc>
          <w:tcPr>
            <w:tcW w:w="931"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highlight w:val="none"/>
                <w:u w:val="none"/>
                <w:lang w:eastAsia="zh-CN"/>
              </w:rPr>
            </w:pPr>
          </w:p>
        </w:tc>
        <w:tc>
          <w:tcPr>
            <w:tcW w:w="931"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highlight w:val="none"/>
                <w:u w:val="none"/>
                <w:lang w:eastAsia="zh-CN"/>
              </w:rPr>
            </w:pPr>
          </w:p>
        </w:tc>
        <w:tc>
          <w:tcPr>
            <w:tcW w:w="16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highlight w:val="none"/>
                <w:u w:val="none"/>
                <w:lang w:eastAsia="zh-CN"/>
              </w:rPr>
            </w:pPr>
          </w:p>
        </w:tc>
        <w:tc>
          <w:tcPr>
            <w:tcW w:w="1731"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highlight w:val="none"/>
                <w:u w:val="none"/>
                <w:lang w:eastAsia="zh-CN"/>
              </w:rPr>
            </w:pPr>
          </w:p>
        </w:tc>
        <w:tc>
          <w:tcPr>
            <w:tcW w:w="1659"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highlight w:val="none"/>
                <w:u w:val="none"/>
                <w:lang w:val="en-US" w:eastAsia="zh-CN"/>
              </w:rPr>
            </w:pPr>
            <w:r>
              <w:rPr>
                <w:rFonts w:hint="eastAsia" w:ascii="宋体" w:hAnsi="宋体" w:eastAsia="宋体"/>
                <w:b w:val="0"/>
                <w:i w:val="0"/>
                <w:snapToGrid/>
                <w:color w:val="000000"/>
                <w:sz w:val="22"/>
                <w:highlight w:val="none"/>
                <w:u w:val="none"/>
                <w:lang w:val="en-US" w:eastAsia="zh-CN"/>
              </w:rPr>
              <w:t>0.10</w:t>
            </w:r>
          </w:p>
        </w:tc>
        <w:tc>
          <w:tcPr>
            <w:tcW w:w="136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highlight w:val="none"/>
                <w:u w:val="none"/>
                <w:lang w:eastAsia="zh-CN"/>
              </w:rPr>
            </w:pPr>
          </w:p>
        </w:tc>
        <w:tc>
          <w:tcPr>
            <w:tcW w:w="931"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highlight w:val="none"/>
                <w:u w:val="none"/>
                <w:lang w:eastAsia="zh-CN"/>
              </w:rPr>
            </w:pPr>
          </w:p>
        </w:tc>
        <w:tc>
          <w:tcPr>
            <w:tcW w:w="931"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highlight w:val="none"/>
                <w:u w:val="none"/>
                <w:lang w:eastAsia="zh-CN"/>
              </w:rPr>
            </w:pPr>
          </w:p>
        </w:tc>
        <w:tc>
          <w:tcPr>
            <w:tcW w:w="931"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highlight w:val="none"/>
                <w:u w:val="none"/>
                <w:lang w:eastAsia="zh-CN"/>
              </w:rPr>
            </w:pPr>
          </w:p>
        </w:tc>
        <w:tc>
          <w:tcPr>
            <w:tcW w:w="931"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highlight w:val="none"/>
                <w:u w:val="none"/>
                <w:lang w:eastAsia="zh-CN"/>
              </w:rPr>
            </w:pPr>
          </w:p>
        </w:tc>
        <w:tc>
          <w:tcPr>
            <w:tcW w:w="1368"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15" w:hRule="atLeast"/>
        </w:trPr>
        <w:tc>
          <w:tcPr>
            <w:tcW w:w="14695" w:type="dxa"/>
            <w:gridSpan w:val="12"/>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szCs w:val="22"/>
                <w:u w:val="none"/>
                <w:lang w:eastAsia="zh-CN"/>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highlight w:val="none"/>
        </w:rPr>
        <w:sectPr>
          <w:pgSz w:w="16838" w:h="11906" w:orient="landscape"/>
          <w:pgMar w:top="2098" w:right="1474" w:bottom="1984" w:left="1587" w:header="720" w:footer="720"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314"/>
        <w:gridCol w:w="915"/>
        <w:gridCol w:w="915"/>
        <w:gridCol w:w="3748"/>
        <w:gridCol w:w="2060"/>
        <w:gridCol w:w="1903"/>
        <w:gridCol w:w="1602"/>
        <w:gridCol w:w="915"/>
        <w:gridCol w:w="1602"/>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390" w:hRule="atLeast"/>
        </w:trPr>
        <w:tc>
          <w:tcPr>
            <w:tcW w:w="14889" w:type="dxa"/>
            <w:gridSpan w:val="10"/>
            <w:noWrap w:val="0"/>
            <w:vAlign w:val="bottom"/>
          </w:tcPr>
          <w:p>
            <w:pPr>
              <w:kinsoku/>
              <w:autoSpaceDE/>
              <w:autoSpaceDN w:val="0"/>
              <w:jc w:val="center"/>
              <w:textAlignment w:val="bottom"/>
              <w:rPr>
                <w:rFonts w:hint="default" w:ascii="宋体" w:hAnsi="宋体" w:eastAsia="宋体"/>
                <w:b w:val="0"/>
                <w:i w:val="0"/>
                <w:snapToGrid/>
                <w:color w:val="000000"/>
                <w:sz w:val="30"/>
                <w:u w:val="none"/>
                <w:lang w:eastAsia="zh-CN"/>
              </w:rPr>
            </w:pPr>
            <w:r>
              <w:rPr>
                <w:rFonts w:hint="default" w:ascii="宋体" w:hAnsi="宋体" w:eastAsia="宋体"/>
                <w:b w:val="0"/>
                <w:i w:val="0"/>
                <w:snapToGrid/>
                <w:color w:val="000000"/>
                <w:sz w:val="30"/>
                <w:szCs w:val="30"/>
                <w:u w:val="none"/>
                <w:lang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285" w:hRule="atLeast"/>
        </w:trPr>
        <w:tc>
          <w:tcPr>
            <w:tcW w:w="314"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15"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915"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3748"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2060"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903"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602"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3432" w:type="dxa"/>
            <w:gridSpan w:val="3"/>
            <w:noWrap w:val="0"/>
            <w:vAlign w:val="bottom"/>
          </w:tcPr>
          <w:p>
            <w:pPr>
              <w:kinsoku/>
              <w:autoSpaceDE/>
              <w:autoSpaceDN w:val="0"/>
              <w:jc w:val="righ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285" w:hRule="atLeast"/>
        </w:trPr>
        <w:tc>
          <w:tcPr>
            <w:tcW w:w="7952" w:type="dxa"/>
            <w:gridSpan w:val="5"/>
            <w:noWrap w:val="0"/>
            <w:vAlign w:val="bottom"/>
          </w:tcPr>
          <w:p>
            <w:pPr>
              <w:kinsoku/>
              <w:autoSpaceDE/>
              <w:autoSpaceDN w:val="0"/>
              <w:jc w:val="lef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部门：许昌市河湖管理中心</w:t>
            </w:r>
          </w:p>
        </w:tc>
        <w:tc>
          <w:tcPr>
            <w:tcW w:w="1903"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1602" w:type="dxa"/>
            <w:noWrap w:val="0"/>
            <w:vAlign w:val="bottom"/>
          </w:tcPr>
          <w:p>
            <w:pPr>
              <w:kinsoku/>
              <w:autoSpaceDE/>
              <w:autoSpaceDN w:val="0"/>
              <w:jc w:val="left"/>
              <w:textAlignment w:val="bottom"/>
              <w:rPr>
                <w:rFonts w:hint="default" w:ascii="Arial" w:hAnsi="宋体"/>
                <w:b w:val="0"/>
                <w:i w:val="0"/>
                <w:snapToGrid/>
                <w:color w:val="000000"/>
                <w:sz w:val="20"/>
                <w:u w:val="none"/>
              </w:rPr>
            </w:pPr>
          </w:p>
        </w:tc>
        <w:tc>
          <w:tcPr>
            <w:tcW w:w="3432" w:type="dxa"/>
            <w:gridSpan w:val="3"/>
            <w:noWrap w:val="0"/>
            <w:vAlign w:val="bottom"/>
          </w:tcPr>
          <w:p>
            <w:pPr>
              <w:kinsoku/>
              <w:autoSpaceDE/>
              <w:autoSpaceDN w:val="0"/>
              <w:jc w:val="right"/>
              <w:textAlignment w:val="bottom"/>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300" w:hRule="atLeast"/>
        </w:trPr>
        <w:tc>
          <w:tcPr>
            <w:tcW w:w="5892"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项目</w:t>
            </w:r>
          </w:p>
        </w:tc>
        <w:tc>
          <w:tcPr>
            <w:tcW w:w="2060"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年初结转和结余</w:t>
            </w:r>
          </w:p>
        </w:tc>
        <w:tc>
          <w:tcPr>
            <w:tcW w:w="1903"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本年收入</w:t>
            </w:r>
          </w:p>
        </w:tc>
        <w:tc>
          <w:tcPr>
            <w:tcW w:w="4119" w:type="dxa"/>
            <w:gridSpan w:val="3"/>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本年支出</w:t>
            </w:r>
          </w:p>
        </w:tc>
        <w:tc>
          <w:tcPr>
            <w:tcW w:w="915" w:type="dxa"/>
            <w:vMerge w:val="restart"/>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300" w:hRule="atLeast"/>
        </w:trPr>
        <w:tc>
          <w:tcPr>
            <w:tcW w:w="2144" w:type="dxa"/>
            <w:gridSpan w:val="3"/>
            <w:vMerge w:val="restart"/>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功能分类科目编码</w:t>
            </w:r>
          </w:p>
        </w:tc>
        <w:tc>
          <w:tcPr>
            <w:tcW w:w="3748"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科目名称</w:t>
            </w:r>
          </w:p>
        </w:tc>
        <w:tc>
          <w:tcPr>
            <w:tcW w:w="2060"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1903" w:type="dxa"/>
            <w:vMerge w:val="continue"/>
            <w:tcBorders>
              <w:top w:val="single" w:color="000000" w:sz="4" w:space="0"/>
              <w:bottom w:val="single" w:color="000000" w:sz="4" w:space="0"/>
              <w:right w:val="single" w:color="000000" w:sz="4" w:space="0"/>
            </w:tcBorders>
            <w:noWrap w:val="0"/>
            <w:vAlign w:val="center"/>
          </w:tcPr>
          <w:p>
            <w:pPr>
              <w:rPr>
                <w:rFonts w:hint="default" w:ascii="宋体" w:hAnsi="宋体"/>
                <w:sz w:val="24"/>
              </w:rPr>
            </w:pPr>
          </w:p>
        </w:tc>
        <w:tc>
          <w:tcPr>
            <w:tcW w:w="1602"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小计</w:t>
            </w:r>
          </w:p>
        </w:tc>
        <w:tc>
          <w:tcPr>
            <w:tcW w:w="915"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基本支出</w:t>
            </w:r>
          </w:p>
        </w:tc>
        <w:tc>
          <w:tcPr>
            <w:tcW w:w="1602" w:type="dxa"/>
            <w:vMerge w:val="restart"/>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项目支出</w:t>
            </w:r>
          </w:p>
        </w:tc>
        <w:tc>
          <w:tcPr>
            <w:tcW w:w="915" w:type="dxa"/>
            <w:vMerge w:val="continue"/>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300" w:hRule="atLeast"/>
        </w:trPr>
        <w:tc>
          <w:tcPr>
            <w:tcW w:w="2144" w:type="dxa"/>
            <w:gridSpan w:val="3"/>
            <w:vMerge w:val="continue"/>
            <w:tcBorders>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napToGrid/>
                <w:sz w:val="24"/>
              </w:rPr>
            </w:pPr>
          </w:p>
        </w:tc>
        <w:tc>
          <w:tcPr>
            <w:tcW w:w="3748" w:type="dxa"/>
            <w:vMerge w:val="continue"/>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2060" w:type="dxa"/>
            <w:vMerge w:val="continue"/>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1903" w:type="dxa"/>
            <w:vMerge w:val="continue"/>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1602" w:type="dxa"/>
            <w:vMerge w:val="continue"/>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915" w:type="dxa"/>
            <w:vMerge w:val="continue"/>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1602" w:type="dxa"/>
            <w:vMerge w:val="continue"/>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915" w:type="dxa"/>
            <w:vMerge w:val="continue"/>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300" w:hRule="atLeast"/>
        </w:trPr>
        <w:tc>
          <w:tcPr>
            <w:tcW w:w="2144" w:type="dxa"/>
            <w:gridSpan w:val="3"/>
            <w:vMerge w:val="continue"/>
            <w:tcBorders>
              <w:left w:val="single" w:color="000000" w:sz="4" w:space="0"/>
              <w:bottom w:val="single" w:color="000000" w:sz="4" w:space="0"/>
              <w:right w:val="single" w:color="000000" w:sz="4" w:space="0"/>
            </w:tcBorders>
            <w:noWrap w:val="0"/>
            <w:vAlign w:val="center"/>
          </w:tcPr>
          <w:p>
            <w:pPr>
              <w:kinsoku/>
              <w:autoSpaceDE/>
              <w:autoSpaceDN w:val="0"/>
              <w:textAlignment w:val="auto"/>
              <w:rPr>
                <w:rFonts w:hint="default" w:ascii="宋体" w:hAnsi="宋体"/>
                <w:snapToGrid/>
                <w:sz w:val="24"/>
              </w:rPr>
            </w:pPr>
          </w:p>
        </w:tc>
        <w:tc>
          <w:tcPr>
            <w:tcW w:w="3748" w:type="dxa"/>
            <w:vMerge w:val="continue"/>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2060" w:type="dxa"/>
            <w:vMerge w:val="continue"/>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1903" w:type="dxa"/>
            <w:vMerge w:val="continue"/>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1602" w:type="dxa"/>
            <w:vMerge w:val="continue"/>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915" w:type="dxa"/>
            <w:vMerge w:val="continue"/>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1602" w:type="dxa"/>
            <w:vMerge w:val="continue"/>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c>
          <w:tcPr>
            <w:tcW w:w="915" w:type="dxa"/>
            <w:vMerge w:val="continue"/>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snapToGrid/>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300" w:hRule="atLeast"/>
        </w:trPr>
        <w:tc>
          <w:tcPr>
            <w:tcW w:w="5892" w:type="dxa"/>
            <w:gridSpan w:val="4"/>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栏次</w:t>
            </w:r>
          </w:p>
        </w:tc>
        <w:tc>
          <w:tcPr>
            <w:tcW w:w="206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1</w:t>
            </w:r>
          </w:p>
        </w:tc>
        <w:tc>
          <w:tcPr>
            <w:tcW w:w="1903"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2</w:t>
            </w:r>
          </w:p>
        </w:tc>
        <w:tc>
          <w:tcPr>
            <w:tcW w:w="1602"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3</w:t>
            </w:r>
          </w:p>
        </w:tc>
        <w:tc>
          <w:tcPr>
            <w:tcW w:w="91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4</w:t>
            </w:r>
          </w:p>
        </w:tc>
        <w:tc>
          <w:tcPr>
            <w:tcW w:w="1602"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5</w:t>
            </w:r>
          </w:p>
        </w:tc>
        <w:tc>
          <w:tcPr>
            <w:tcW w:w="91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300" w:hRule="atLeast"/>
        </w:trPr>
        <w:tc>
          <w:tcPr>
            <w:tcW w:w="5892" w:type="dxa"/>
            <w:gridSpan w:val="4"/>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u w:val="none"/>
                <w:lang w:eastAsia="zh-CN"/>
              </w:rPr>
              <w:t>合计</w:t>
            </w:r>
          </w:p>
        </w:tc>
        <w:tc>
          <w:tcPr>
            <w:tcW w:w="20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c>
          <w:tcPr>
            <w:tcW w:w="190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c>
          <w:tcPr>
            <w:tcW w:w="160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c>
          <w:tcPr>
            <w:tcW w:w="9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c>
          <w:tcPr>
            <w:tcW w:w="160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c>
          <w:tcPr>
            <w:tcW w:w="9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300" w:hRule="atLeast"/>
        </w:trPr>
        <w:tc>
          <w:tcPr>
            <w:tcW w:w="2144"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748"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0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90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60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60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300" w:hRule="atLeast"/>
        </w:trPr>
        <w:tc>
          <w:tcPr>
            <w:tcW w:w="2144"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748"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0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90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60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60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300" w:hRule="atLeast"/>
        </w:trPr>
        <w:tc>
          <w:tcPr>
            <w:tcW w:w="2144" w:type="dxa"/>
            <w:gridSpan w:val="3"/>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3748"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p>
        </w:tc>
        <w:tc>
          <w:tcPr>
            <w:tcW w:w="2060"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903"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60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1602"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c>
          <w:tcPr>
            <w:tcW w:w="915" w:type="dxa"/>
            <w:tcBorders>
              <w:bottom w:val="single" w:color="000000" w:sz="4" w:space="0"/>
              <w:right w:val="single" w:color="000000" w:sz="4" w:space="0"/>
            </w:tcBorders>
            <w:noWrap w:val="0"/>
            <w:vAlign w:val="center"/>
          </w:tcPr>
          <w:p>
            <w:pPr>
              <w:kinsoku/>
              <w:autoSpaceDE/>
              <w:autoSpaceDN w:val="0"/>
              <w:jc w:val="right"/>
              <w:textAlignment w:val="center"/>
              <w:rPr>
                <w:rFonts w:hint="default" w:ascii="宋体" w:hAnsi="宋体" w:eastAsia="宋体"/>
                <w:b w:val="0"/>
                <w:i w:val="0"/>
                <w:snapToGrid/>
                <w:color w:val="000000"/>
                <w:sz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trHeight w:val="300" w:hRule="atLeast"/>
        </w:trPr>
        <w:tc>
          <w:tcPr>
            <w:tcW w:w="14889" w:type="dxa"/>
            <w:gridSpan w:val="10"/>
            <w:noWrap w:val="0"/>
            <w:vAlign w:val="center"/>
          </w:tcPr>
          <w:p>
            <w:pPr>
              <w:kinsoku/>
              <w:autoSpaceDE/>
              <w:autoSpaceDN w:val="0"/>
              <w:jc w:val="left"/>
              <w:textAlignment w:val="center"/>
              <w:rPr>
                <w:rFonts w:hint="default" w:ascii="宋体" w:hAnsi="宋体" w:eastAsia="宋体"/>
                <w:b w:val="0"/>
                <w:i w:val="0"/>
                <w:snapToGrid/>
                <w:color w:val="000000"/>
                <w:sz w:val="22"/>
                <w:u w:val="none"/>
                <w:lang w:eastAsia="zh-CN"/>
              </w:rPr>
            </w:pPr>
            <w:r>
              <w:rPr>
                <w:rFonts w:hint="default" w:ascii="宋体" w:hAnsi="宋体" w:eastAsia="宋体"/>
                <w:b w:val="0"/>
                <w:i w:val="0"/>
                <w:snapToGrid/>
                <w:color w:val="000000"/>
                <w:sz w:val="22"/>
                <w:szCs w:val="22"/>
                <w:u w:val="none"/>
                <w:lang w:eastAsia="zh-CN"/>
              </w:rPr>
              <w:t>注：本表反映部门本年度政府性基金预算财政拨款收入、支出及结转和结余情况。</w:t>
            </w:r>
          </w:p>
        </w:tc>
      </w:tr>
    </w:tbl>
    <w:p>
      <w:pPr>
        <w:widowControl/>
        <w:spacing w:line="590" w:lineRule="exact"/>
        <w:jc w:val="left"/>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sz w:val="32"/>
          <w:szCs w:val="32"/>
        </w:rPr>
        <w:t>说明：我部门没有政府性基金收入，也没有使用</w:t>
      </w:r>
      <w:r>
        <w:rPr>
          <w:rFonts w:hint="eastAsia" w:ascii="仿宋" w:hAnsi="仿宋" w:eastAsia="仿宋" w:cs="黑体"/>
          <w:sz w:val="32"/>
          <w:szCs w:val="32"/>
          <w:lang w:bidi="ar"/>
        </w:rPr>
        <w:t>政府性基金安排的支出</w:t>
      </w:r>
      <w:r>
        <w:rPr>
          <w:rFonts w:hint="eastAsia" w:ascii="仿宋" w:hAnsi="仿宋" w:eastAsia="仿宋"/>
          <w:sz w:val="32"/>
          <w:szCs w:val="32"/>
        </w:rPr>
        <w:t>，故本表无数据。</w:t>
      </w: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第三部分 2021年度部门决算情况说明</w:t>
      </w:r>
    </w:p>
    <w:p>
      <w:pPr>
        <w:widowControl/>
        <w:jc w:val="left"/>
        <w:rPr>
          <w:rFonts w:hint="eastAsia" w:ascii="黑体" w:hAnsi="黑体" w:eastAsia="黑体" w:cs="黑体"/>
          <w:sz w:val="48"/>
          <w:szCs w:val="48"/>
          <w:highlight w:val="none"/>
        </w:rPr>
        <w:sectPr>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一、收入支出决算总体情况说明</w:t>
      </w:r>
    </w:p>
    <w:p>
      <w:pPr>
        <w:widowControl/>
        <w:spacing w:line="590" w:lineRule="exact"/>
        <w:ind w:firstLine="640" w:firstLineChars="200"/>
        <w:rPr>
          <w:rFonts w:hint="eastAsia" w:ascii="黑体" w:hAnsi="黑体" w:eastAsia="黑体" w:cs="黑体"/>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年度收、支总计均为</w:t>
      </w:r>
      <w:r>
        <w:rPr>
          <w:rFonts w:hint="eastAsia" w:ascii="仿宋_GB2312" w:hAnsi="仿宋_GB2312" w:eastAsia="仿宋_GB2312" w:cs="仿宋_GB2312"/>
          <w:sz w:val="32"/>
          <w:szCs w:val="32"/>
          <w:highlight w:val="none"/>
          <w:lang w:val="en-US" w:eastAsia="zh-CN"/>
        </w:rPr>
        <w:t>68.84</w:t>
      </w:r>
      <w:r>
        <w:rPr>
          <w:rFonts w:hint="eastAsia" w:ascii="仿宋_GB2312" w:hAnsi="仿宋_GB2312" w:eastAsia="仿宋_GB2312" w:cs="仿宋_GB2312"/>
          <w:sz w:val="32"/>
          <w:szCs w:val="32"/>
          <w:highlight w:val="none"/>
        </w:rPr>
        <w:t>万元。与上年度相比，收、支总计各减少</w:t>
      </w:r>
      <w:r>
        <w:rPr>
          <w:rFonts w:hint="eastAsia" w:ascii="仿宋_GB2312" w:hAnsi="仿宋_GB2312" w:eastAsia="仿宋_GB2312" w:cs="仿宋_GB2312"/>
          <w:sz w:val="32"/>
          <w:szCs w:val="32"/>
          <w:highlight w:val="none"/>
          <w:lang w:val="en-US" w:eastAsia="zh-CN"/>
        </w:rPr>
        <w:t>123.86</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64.28</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经费与上年相比减少</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二、收入决算情况说明</w:t>
      </w:r>
    </w:p>
    <w:p>
      <w:pPr>
        <w:widowControl/>
        <w:spacing w:line="590" w:lineRule="exact"/>
        <w:ind w:firstLine="640" w:firstLineChars="200"/>
        <w:rPr>
          <w:rFonts w:hint="eastAsia" w:ascii="黑体" w:hAnsi="黑体" w:eastAsia="黑体" w:cs="黑体"/>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年度收入合计</w:t>
      </w:r>
      <w:r>
        <w:rPr>
          <w:rFonts w:hint="eastAsia" w:ascii="仿宋_GB2312" w:hAnsi="仿宋_GB2312" w:eastAsia="仿宋_GB2312" w:cs="仿宋_GB2312"/>
          <w:sz w:val="32"/>
          <w:szCs w:val="32"/>
          <w:highlight w:val="none"/>
          <w:lang w:val="en-US" w:eastAsia="zh-CN"/>
        </w:rPr>
        <w:t>61.74</w:t>
      </w:r>
      <w:r>
        <w:rPr>
          <w:rFonts w:hint="eastAsia" w:ascii="仿宋_GB2312" w:hAnsi="仿宋_GB2312" w:eastAsia="仿宋_GB2312" w:cs="仿宋_GB2312"/>
          <w:sz w:val="32"/>
          <w:szCs w:val="32"/>
          <w:highlight w:val="none"/>
        </w:rPr>
        <w:t>万元，其中：财政拨款收入</w:t>
      </w:r>
      <w:r>
        <w:rPr>
          <w:rFonts w:hint="eastAsia" w:ascii="仿宋_GB2312" w:hAnsi="仿宋_GB2312" w:eastAsia="仿宋_GB2312" w:cs="仿宋_GB2312"/>
          <w:sz w:val="32"/>
          <w:szCs w:val="32"/>
          <w:highlight w:val="none"/>
          <w:lang w:val="en-US" w:eastAsia="zh-CN"/>
        </w:rPr>
        <w:t>61.74</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%；上级补助收入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%；事业收入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%；经营收入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%；附属单位上缴收入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%；其他收入</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三、支出决算情况说明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年度支出合计</w:t>
      </w:r>
      <w:r>
        <w:rPr>
          <w:rFonts w:hint="eastAsia" w:ascii="仿宋_GB2312" w:hAnsi="仿宋_GB2312" w:eastAsia="仿宋_GB2312" w:cs="仿宋_GB2312"/>
          <w:sz w:val="32"/>
          <w:szCs w:val="32"/>
          <w:highlight w:val="none"/>
          <w:lang w:val="en-US" w:eastAsia="zh-CN"/>
        </w:rPr>
        <w:t>68.84</w:t>
      </w:r>
      <w:r>
        <w:rPr>
          <w:rFonts w:hint="eastAsia" w:ascii="仿宋_GB2312" w:hAnsi="仿宋_GB2312" w:eastAsia="仿宋_GB2312" w:cs="仿宋_GB2312"/>
          <w:sz w:val="32"/>
          <w:szCs w:val="32"/>
          <w:highlight w:val="none"/>
        </w:rPr>
        <w:t>万元，其中：基本支出</w:t>
      </w:r>
      <w:r>
        <w:rPr>
          <w:rFonts w:hint="eastAsia" w:ascii="仿宋_GB2312" w:hAnsi="仿宋_GB2312" w:eastAsia="仿宋_GB2312" w:cs="仿宋_GB2312"/>
          <w:sz w:val="32"/>
          <w:szCs w:val="32"/>
          <w:highlight w:val="none"/>
          <w:lang w:val="en-US" w:eastAsia="zh-CN"/>
        </w:rPr>
        <w:t>65.90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95.73</w:t>
      </w:r>
      <w:r>
        <w:rPr>
          <w:rFonts w:hint="eastAsia" w:ascii="仿宋_GB2312" w:hAnsi="仿宋_GB2312" w:eastAsia="仿宋_GB2312" w:cs="仿宋_GB2312"/>
          <w:sz w:val="32"/>
          <w:szCs w:val="32"/>
          <w:highlight w:val="none"/>
        </w:rPr>
        <w:t>%；项目支出</w:t>
      </w:r>
      <w:r>
        <w:rPr>
          <w:rFonts w:hint="eastAsia" w:ascii="仿宋_GB2312" w:hAnsi="仿宋_GB2312" w:eastAsia="仿宋_GB2312" w:cs="仿宋_GB2312"/>
          <w:sz w:val="32"/>
          <w:szCs w:val="32"/>
          <w:highlight w:val="none"/>
          <w:lang w:val="en-US" w:eastAsia="zh-CN"/>
        </w:rPr>
        <w:t>2.94</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4.27</w:t>
      </w:r>
      <w:r>
        <w:rPr>
          <w:rFonts w:hint="eastAsia" w:ascii="仿宋_GB2312" w:hAnsi="仿宋_GB2312" w:eastAsia="仿宋_GB2312" w:cs="仿宋_GB2312"/>
          <w:sz w:val="32"/>
          <w:szCs w:val="32"/>
          <w:highlight w:val="none"/>
        </w:rPr>
        <w:t>%；上缴上级支出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%；经营支出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%；对附属单位补助支出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年度财政拨款收、支总计均为</w:t>
      </w:r>
      <w:r>
        <w:rPr>
          <w:rFonts w:hint="eastAsia" w:ascii="仿宋_GB2312" w:hAnsi="仿宋_GB2312" w:eastAsia="仿宋_GB2312" w:cs="仿宋_GB2312"/>
          <w:sz w:val="32"/>
          <w:szCs w:val="32"/>
          <w:highlight w:val="none"/>
          <w:lang w:val="en-US" w:eastAsia="zh-CN"/>
        </w:rPr>
        <w:t>68.84</w:t>
      </w:r>
      <w:r>
        <w:rPr>
          <w:rFonts w:hint="eastAsia" w:ascii="仿宋_GB2312" w:hAnsi="仿宋_GB2312" w:eastAsia="仿宋_GB2312" w:cs="仿宋_GB2312"/>
          <w:sz w:val="32"/>
          <w:szCs w:val="32"/>
          <w:highlight w:val="none"/>
        </w:rPr>
        <w:t>万元。与上年度相比，财政拨款收、支总计各减少</w:t>
      </w:r>
      <w:r>
        <w:rPr>
          <w:rFonts w:hint="eastAsia" w:ascii="仿宋_GB2312" w:hAnsi="仿宋_GB2312" w:eastAsia="仿宋_GB2312" w:cs="仿宋_GB2312"/>
          <w:sz w:val="32"/>
          <w:szCs w:val="32"/>
          <w:highlight w:val="none"/>
          <w:lang w:val="en-US" w:eastAsia="zh-CN"/>
        </w:rPr>
        <w:t>123.86</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64.28</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经费与上年相比减少</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（一）总体情况。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val="en-US" w:eastAsia="zh-CN"/>
        </w:rPr>
        <w:t>68.84</w:t>
      </w:r>
      <w:r>
        <w:rPr>
          <w:rFonts w:hint="eastAsia" w:ascii="仿宋_GB2312" w:hAnsi="仿宋_GB2312" w:eastAsia="仿宋_GB2312" w:cs="仿宋_GB2312"/>
          <w:sz w:val="32"/>
          <w:szCs w:val="32"/>
          <w:highlight w:val="none"/>
        </w:rPr>
        <w:t>万元，占支出合计的</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%。与上年度相比，一般公共预算财政拨款支出减少</w:t>
      </w:r>
      <w:r>
        <w:rPr>
          <w:rFonts w:hint="eastAsia" w:ascii="仿宋_GB2312" w:hAnsi="仿宋_GB2312" w:eastAsia="仿宋_GB2312" w:cs="仿宋_GB2312"/>
          <w:sz w:val="32"/>
          <w:szCs w:val="32"/>
          <w:highlight w:val="none"/>
          <w:lang w:val="en-US" w:eastAsia="zh-CN"/>
        </w:rPr>
        <w:t>117.42</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63.04</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经费与上年相比减少</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（二）结构情况。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val="en-US" w:eastAsia="zh-CN"/>
        </w:rPr>
        <w:t>68.84</w:t>
      </w:r>
      <w:r>
        <w:rPr>
          <w:rFonts w:hint="eastAsia" w:ascii="仿宋_GB2312" w:hAnsi="仿宋_GB2312" w:eastAsia="仿宋_GB2312" w:cs="仿宋_GB2312"/>
          <w:sz w:val="32"/>
          <w:szCs w:val="32"/>
          <w:highlight w:val="none"/>
        </w:rPr>
        <w:t>万元，主要用于以下方面：一般公共服务（类）支出</w:t>
      </w:r>
      <w:r>
        <w:rPr>
          <w:rFonts w:hint="eastAsia" w:ascii="仿宋_GB2312" w:hAnsi="仿宋_GB2312" w:eastAsia="仿宋_GB2312" w:cs="仿宋_GB2312"/>
          <w:sz w:val="32"/>
          <w:szCs w:val="32"/>
          <w:highlight w:val="none"/>
          <w:lang w:val="en-US" w:eastAsia="zh-CN"/>
        </w:rPr>
        <w:t>0.28</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0.40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社会保障和就业（类）支出</w:t>
      </w: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5.16</w:t>
      </w:r>
      <w:r>
        <w:rPr>
          <w:rFonts w:hint="eastAsia" w:ascii="仿宋_GB2312" w:hAnsi="仿宋_GB2312" w:eastAsia="仿宋_GB2312" w:cs="仿宋_GB2312"/>
          <w:sz w:val="32"/>
          <w:szCs w:val="32"/>
        </w:rPr>
        <w:t>%；卫生健康（类）支出1.</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2.34</w:t>
      </w:r>
      <w:r>
        <w:rPr>
          <w:rFonts w:hint="eastAsia" w:ascii="仿宋_GB2312" w:hAnsi="仿宋_GB2312" w:eastAsia="仿宋_GB2312" w:cs="仿宋_GB2312"/>
          <w:sz w:val="32"/>
          <w:szCs w:val="32"/>
        </w:rPr>
        <w:t>%；农林水（类）支出</w:t>
      </w:r>
      <w:r>
        <w:rPr>
          <w:rFonts w:hint="eastAsia" w:ascii="仿宋_GB2312" w:hAnsi="仿宋_GB2312" w:eastAsia="仿宋_GB2312" w:cs="仿宋_GB2312"/>
          <w:sz w:val="32"/>
          <w:szCs w:val="32"/>
          <w:lang w:val="en-US" w:eastAsia="zh-CN"/>
        </w:rPr>
        <w:t>63.40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92.10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（三）具体情况。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60.87</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68.84</w:t>
      </w:r>
      <w:r>
        <w:rPr>
          <w:rFonts w:hint="eastAsia" w:ascii="仿宋_GB2312" w:hAnsi="仿宋_GB2312" w:eastAsia="仿宋_GB2312" w:cs="仿宋_GB2312"/>
          <w:sz w:val="32"/>
          <w:szCs w:val="32"/>
          <w:highlight w:val="none"/>
        </w:rPr>
        <w:t>万元，完成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sz w:val="32"/>
          <w:szCs w:val="32"/>
          <w:highlight w:val="none"/>
          <w:lang w:val="en-US" w:eastAsia="zh-CN"/>
        </w:rPr>
        <w:t>113.10</w:t>
      </w:r>
      <w:r>
        <w:rPr>
          <w:rFonts w:hint="eastAsia" w:ascii="仿宋_GB2312" w:hAnsi="仿宋_GB2312" w:eastAsia="仿宋_GB2312" w:cs="仿宋_GB2312"/>
          <w:sz w:val="32"/>
          <w:szCs w:val="32"/>
          <w:highlight w:val="none"/>
        </w:rPr>
        <w:t>%。其中：</w:t>
      </w:r>
    </w:p>
    <w:p>
      <w:pPr>
        <w:widowControl/>
        <w:numPr>
          <w:ilvl w:val="0"/>
          <w:numId w:val="0"/>
        </w:numPr>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1.</w:t>
      </w:r>
      <w:r>
        <w:rPr>
          <w:rFonts w:hint="eastAsia" w:ascii="仿宋_GB2312" w:hAnsi="仿宋_GB2312" w:eastAsia="仿宋_GB2312" w:cs="仿宋_GB2312"/>
          <w:b/>
          <w:bCs/>
          <w:sz w:val="32"/>
          <w:szCs w:val="32"/>
        </w:rPr>
        <w:t>一般公共服务</w:t>
      </w:r>
      <w:r>
        <w:rPr>
          <w:rFonts w:hint="eastAsia" w:ascii="仿宋_GB2312" w:hAnsi="仿宋_GB2312" w:eastAsia="仿宋_GB2312" w:cs="仿宋_GB2312"/>
          <w:b/>
          <w:bCs/>
          <w:sz w:val="32"/>
          <w:szCs w:val="32"/>
          <w:lang w:val="en-US" w:eastAsia="zh-CN"/>
        </w:rPr>
        <w:t>支出</w:t>
      </w:r>
      <w:r>
        <w:rPr>
          <w:rFonts w:hint="eastAsia" w:ascii="仿宋_GB2312" w:hAnsi="仿宋_GB2312" w:eastAsia="仿宋_GB2312" w:cs="仿宋_GB2312"/>
          <w:b/>
          <w:bCs/>
          <w:sz w:val="32"/>
          <w:szCs w:val="32"/>
        </w:rPr>
        <w:t>（类）群众团体事务（款）工会事务（项）。</w:t>
      </w:r>
      <w:r>
        <w:rPr>
          <w:rFonts w:hint="eastAsia" w:ascii="仿宋_GB2312" w:hAnsi="仿宋_GB2312" w:eastAsia="仿宋_GB2312" w:cs="仿宋_GB2312"/>
          <w:sz w:val="32"/>
          <w:szCs w:val="32"/>
        </w:rPr>
        <w:t>年初预算为0.</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color w:val="auto"/>
          <w:sz w:val="32"/>
          <w:szCs w:val="32"/>
          <w:lang w:val="en-US" w:eastAsia="zh-CN"/>
        </w:rPr>
        <w:t>0.28</w:t>
      </w:r>
      <w:r>
        <w:rPr>
          <w:rFonts w:hint="eastAsia" w:ascii="仿宋_GB2312" w:hAnsi="仿宋_GB2312" w:eastAsia="仿宋_GB2312" w:cs="仿宋_GB2312"/>
          <w:sz w:val="32"/>
          <w:szCs w:val="32"/>
        </w:rPr>
        <w:t>万元，完成年初预算的100.00%，</w:t>
      </w:r>
      <w:r>
        <w:rPr>
          <w:rFonts w:hint="eastAsia" w:ascii="仿宋_GB2312" w:hAnsi="仿宋_GB2312" w:eastAsia="仿宋_GB2312" w:cs="仿宋_GB2312"/>
          <w:sz w:val="32"/>
          <w:szCs w:val="32"/>
          <w:lang w:val="en-US" w:eastAsia="zh-CN"/>
        </w:rPr>
        <w:t>决算数与</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数不存在</w:t>
      </w:r>
      <w:r>
        <w:rPr>
          <w:rFonts w:hint="eastAsia" w:ascii="仿宋_GB2312" w:hAnsi="仿宋_GB2312" w:eastAsia="仿宋_GB2312" w:cs="仿宋_GB2312"/>
          <w:sz w:val="32"/>
          <w:szCs w:val="32"/>
        </w:rPr>
        <w:t>差异。</w:t>
      </w:r>
    </w:p>
    <w:p>
      <w:pPr>
        <w:pStyle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rPr>
        <w:t>社会保障和就业</w:t>
      </w:r>
      <w:r>
        <w:rPr>
          <w:rFonts w:hint="eastAsia" w:ascii="仿宋_GB2312" w:hAnsi="仿宋_GB2312" w:eastAsia="仿宋_GB2312" w:cs="仿宋_GB2312"/>
          <w:b/>
          <w:bCs/>
          <w:sz w:val="32"/>
          <w:szCs w:val="32"/>
          <w:lang w:val="en-US" w:eastAsia="zh-CN"/>
        </w:rPr>
        <w:t>支出</w:t>
      </w:r>
      <w:r>
        <w:rPr>
          <w:rFonts w:hint="eastAsia" w:ascii="仿宋_GB2312" w:hAnsi="仿宋_GB2312" w:eastAsia="仿宋_GB2312" w:cs="仿宋_GB2312"/>
          <w:b/>
          <w:bCs/>
          <w:sz w:val="32"/>
          <w:szCs w:val="32"/>
        </w:rPr>
        <w:t>（类）行政事业单位养老</w:t>
      </w:r>
      <w:r>
        <w:rPr>
          <w:rFonts w:hint="eastAsia" w:ascii="仿宋_GB2312" w:hAnsi="仿宋_GB2312" w:eastAsia="仿宋_GB2312" w:cs="仿宋_GB2312"/>
          <w:b/>
          <w:bCs/>
          <w:sz w:val="32"/>
          <w:szCs w:val="32"/>
          <w:lang w:val="en-US" w:eastAsia="zh-CN"/>
        </w:rPr>
        <w:t>支出</w:t>
      </w:r>
      <w:r>
        <w:rPr>
          <w:rFonts w:hint="eastAsia" w:ascii="仿宋_GB2312" w:hAnsi="仿宋_GB2312" w:eastAsia="仿宋_GB2312" w:cs="仿宋_GB2312"/>
          <w:b/>
          <w:bCs/>
          <w:sz w:val="32"/>
          <w:szCs w:val="32"/>
        </w:rPr>
        <w:t>（款）机关事业单位基本养老保险缴费支出（项）。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3.61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color w:val="auto"/>
          <w:sz w:val="32"/>
          <w:szCs w:val="32"/>
          <w:lang w:val="en-US" w:eastAsia="zh-CN"/>
        </w:rPr>
        <w:t>3.55</w:t>
      </w:r>
      <w:r>
        <w:rPr>
          <w:rFonts w:hint="eastAsia" w:ascii="仿宋_GB2312" w:hAnsi="仿宋_GB2312" w:eastAsia="仿宋_GB2312" w:cs="仿宋_GB2312"/>
          <w:sz w:val="32"/>
          <w:szCs w:val="32"/>
        </w:rPr>
        <w:t>万元，完</w:t>
      </w:r>
      <w:r>
        <w:rPr>
          <w:rFonts w:hint="eastAsia" w:ascii="仿宋_GB2312" w:hAnsi="仿宋_GB2312" w:eastAsia="仿宋_GB2312" w:cs="仿宋_GB2312"/>
          <w:color w:val="auto"/>
          <w:sz w:val="32"/>
          <w:szCs w:val="32"/>
          <w:highlight w:val="none"/>
        </w:rPr>
        <w:t>成年初预算的</w:t>
      </w:r>
      <w:r>
        <w:rPr>
          <w:rFonts w:hint="eastAsia" w:ascii="仿宋_GB2312" w:hAnsi="仿宋_GB2312" w:eastAsia="仿宋_GB2312" w:cs="仿宋_GB2312"/>
          <w:color w:val="auto"/>
          <w:sz w:val="32"/>
          <w:szCs w:val="32"/>
          <w:highlight w:val="none"/>
          <w:lang w:val="en-US" w:eastAsia="zh-CN"/>
        </w:rPr>
        <w:t>98.34</w:t>
      </w:r>
      <w:r>
        <w:rPr>
          <w:rFonts w:hint="eastAsia" w:ascii="仿宋_GB2312" w:hAnsi="仿宋_GB2312" w:eastAsia="仿宋_GB2312" w:cs="仿宋_GB2312"/>
          <w:color w:val="auto"/>
          <w:sz w:val="32"/>
          <w:szCs w:val="32"/>
          <w:highlight w:val="none"/>
        </w:rPr>
        <w:t>%，决算数与</w:t>
      </w:r>
      <w:r>
        <w:rPr>
          <w:rFonts w:hint="eastAsia" w:ascii="仿宋_GB2312" w:hAnsi="仿宋_GB2312" w:eastAsia="仿宋_GB2312" w:cs="仿宋_GB2312"/>
          <w:color w:val="auto"/>
          <w:sz w:val="32"/>
          <w:szCs w:val="32"/>
          <w:highlight w:val="none"/>
          <w:lang w:eastAsia="zh-CN"/>
        </w:rPr>
        <w:t>年初</w:t>
      </w:r>
      <w:r>
        <w:rPr>
          <w:rFonts w:hint="eastAsia" w:ascii="仿宋_GB2312" w:hAnsi="仿宋_GB2312" w:eastAsia="仿宋_GB2312" w:cs="仿宋_GB2312"/>
          <w:color w:val="auto"/>
          <w:sz w:val="32"/>
          <w:szCs w:val="32"/>
          <w:highlight w:val="none"/>
        </w:rPr>
        <w:t>预算数存在差异的主要原因是部分</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用上年度结转资金。</w:t>
      </w:r>
    </w:p>
    <w:p>
      <w:pPr>
        <w:widowControl/>
        <w:spacing w:line="59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3.卫生健康支出（类）行政事业单位医疗（款）事业单位医疗（项）。</w:t>
      </w: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1.70</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1.61</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94.71</w:t>
      </w:r>
      <w:r>
        <w:rPr>
          <w:rFonts w:hint="eastAsia" w:ascii="仿宋_GB2312" w:hAnsi="仿宋_GB2312" w:eastAsia="仿宋_GB2312" w:cs="仿宋_GB2312"/>
          <w:color w:val="auto"/>
          <w:sz w:val="32"/>
          <w:szCs w:val="32"/>
          <w:highlight w:val="none"/>
        </w:rPr>
        <w:t>%。决算数与年初预算数存在差异的主要原因是部分</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用上年度结转资金。</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4.农林水支出（类）水利（款）水利行业业务管理（项）。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55.28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color w:val="auto"/>
          <w:sz w:val="32"/>
          <w:szCs w:val="32"/>
          <w:lang w:val="en-US" w:eastAsia="zh-CN"/>
        </w:rPr>
        <w:t>63.40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114.69</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val="en-US" w:eastAsia="zh-CN"/>
        </w:rPr>
        <w:t>人员经费增加，有年初结转资金</w:t>
      </w:r>
      <w:r>
        <w:rPr>
          <w:rFonts w:hint="eastAsia" w:ascii="仿宋_GB2312" w:hAnsi="仿宋_GB2312" w:eastAsia="仿宋_GB2312" w:cs="仿宋_GB2312"/>
          <w:sz w:val="32"/>
          <w:szCs w:val="32"/>
        </w:rPr>
        <w:t>。</w:t>
      </w:r>
    </w:p>
    <w:p>
      <w:pPr>
        <w:widowControl/>
        <w:spacing w:line="590" w:lineRule="exact"/>
        <w:outlineLvl w:val="1"/>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年度一般公共预算财政拨款基本支出</w:t>
      </w:r>
      <w:r>
        <w:rPr>
          <w:rFonts w:hint="eastAsia" w:ascii="仿宋_GB2312" w:hAnsi="仿宋_GB2312" w:eastAsia="仿宋_GB2312" w:cs="仿宋_GB2312"/>
          <w:sz w:val="32"/>
          <w:szCs w:val="32"/>
          <w:highlight w:val="none"/>
          <w:lang w:val="en-US" w:eastAsia="zh-CN"/>
        </w:rPr>
        <w:t>65.90</w:t>
      </w:r>
      <w:r>
        <w:rPr>
          <w:rFonts w:hint="eastAsia" w:ascii="仿宋_GB2312" w:hAnsi="仿宋_GB2312" w:eastAsia="仿宋_GB2312" w:cs="仿宋_GB2312"/>
          <w:sz w:val="32"/>
          <w:szCs w:val="32"/>
          <w:highlight w:val="none"/>
        </w:rPr>
        <w:t>万元。其中：人员经费</w:t>
      </w:r>
      <w:r>
        <w:rPr>
          <w:rFonts w:hint="eastAsia" w:ascii="仿宋_GB2312" w:hAnsi="仿宋_GB2312" w:eastAsia="仿宋_GB2312" w:cs="仿宋_GB2312"/>
          <w:sz w:val="32"/>
          <w:szCs w:val="32"/>
          <w:highlight w:val="none"/>
          <w:lang w:val="en-US" w:eastAsia="zh-CN"/>
        </w:rPr>
        <w:t>56.57</w:t>
      </w:r>
      <w:r>
        <w:rPr>
          <w:rFonts w:hint="eastAsia" w:ascii="仿宋_GB2312" w:hAnsi="仿宋_GB2312" w:eastAsia="仿宋_GB2312" w:cs="仿宋_GB2312"/>
          <w:sz w:val="32"/>
          <w:szCs w:val="32"/>
          <w:highlight w:val="none"/>
        </w:rPr>
        <w:t>万元，主要包括：基本工资、津贴补贴、</w:t>
      </w:r>
      <w:r>
        <w:rPr>
          <w:rFonts w:hint="eastAsia" w:ascii="仿宋_GB2312" w:hAnsi="仿宋_GB2312" w:eastAsia="仿宋_GB2312" w:cs="仿宋_GB2312"/>
          <w:sz w:val="32"/>
          <w:szCs w:val="32"/>
          <w:highlight w:val="none"/>
          <w:lang w:val="en-US" w:eastAsia="zh-CN"/>
        </w:rPr>
        <w:t>奖金</w:t>
      </w:r>
      <w:r>
        <w:rPr>
          <w:rFonts w:hint="eastAsia" w:ascii="仿宋_GB2312" w:hAnsi="仿宋_GB2312" w:eastAsia="仿宋_GB2312" w:cs="仿宋_GB2312"/>
          <w:sz w:val="32"/>
          <w:szCs w:val="32"/>
          <w:highlight w:val="none"/>
        </w:rPr>
        <w:t>、绩效工资、机关事业单位基本养老保险缴费、</w:t>
      </w:r>
      <w:r>
        <w:rPr>
          <w:rFonts w:hint="eastAsia" w:ascii="仿宋_GB2312" w:hAnsi="仿宋_GB2312" w:eastAsia="仿宋_GB2312" w:cs="仿宋_GB2312"/>
          <w:sz w:val="32"/>
          <w:szCs w:val="32"/>
          <w:highlight w:val="none"/>
          <w:lang w:val="en-US" w:eastAsia="zh-CN"/>
        </w:rPr>
        <w:t>职工基本医疗保险缴费、</w:t>
      </w:r>
      <w:r>
        <w:rPr>
          <w:rFonts w:hint="eastAsia" w:ascii="仿宋_GB2312" w:hAnsi="仿宋_GB2312" w:eastAsia="仿宋_GB2312" w:cs="仿宋_GB2312"/>
          <w:sz w:val="32"/>
          <w:szCs w:val="32"/>
          <w:highlight w:val="none"/>
        </w:rPr>
        <w:t>其他社会保障缴费、住房公积金；公用经费</w:t>
      </w:r>
      <w:r>
        <w:rPr>
          <w:rFonts w:hint="eastAsia" w:ascii="仿宋_GB2312" w:hAnsi="仿宋_GB2312" w:eastAsia="仿宋_GB2312" w:cs="仿宋_GB2312"/>
          <w:sz w:val="32"/>
          <w:szCs w:val="32"/>
          <w:highlight w:val="none"/>
          <w:lang w:val="en-US" w:eastAsia="zh-CN"/>
        </w:rPr>
        <w:t>9.33</w:t>
      </w:r>
      <w:r>
        <w:rPr>
          <w:rFonts w:hint="eastAsia" w:ascii="仿宋_GB2312" w:hAnsi="仿宋_GB2312" w:eastAsia="仿宋_GB2312" w:cs="仿宋_GB2312"/>
          <w:sz w:val="32"/>
          <w:szCs w:val="32"/>
          <w:highlight w:val="none"/>
        </w:rPr>
        <w:t>万元，主要包括：办公费、印刷费、水费、电费、取暖费、物业管理费、差旅费、维修（护）费、会议费、培训费、工会经费、福利费、其他交通费用、办公设备购置。</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年度“三公”经费财政拨款支出预算为</w:t>
      </w:r>
      <w:r>
        <w:rPr>
          <w:rFonts w:hint="eastAsia" w:ascii="仿宋_GB2312" w:hAnsi="仿宋_GB2312" w:eastAsia="仿宋_GB2312" w:cs="仿宋_GB2312"/>
          <w:color w:val="auto"/>
          <w:sz w:val="32"/>
          <w:szCs w:val="32"/>
          <w:highlight w:val="none"/>
          <w:lang w:val="en-US" w:eastAsia="zh-CN"/>
        </w:rPr>
        <w:t>0.10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年度“三公”经费支出决算数与预算数存在差异的主要原因是</w:t>
      </w:r>
      <w:r>
        <w:rPr>
          <w:rFonts w:hint="eastAsia" w:ascii="仿宋_GB2312" w:hAnsi="仿宋_GB2312" w:eastAsia="仿宋_GB2312" w:cs="仿宋_GB2312"/>
          <w:sz w:val="32"/>
          <w:szCs w:val="32"/>
          <w:highlight w:val="none"/>
          <w:lang w:val="en-US" w:eastAsia="zh-CN"/>
        </w:rPr>
        <w:t>2021年没有发生“三公”经费支出</w:t>
      </w:r>
      <w:r>
        <w:rPr>
          <w:rFonts w:hint="eastAsia" w:ascii="仿宋_GB2312" w:hAnsi="仿宋_GB2312" w:eastAsia="仿宋_GB2312" w:cs="仿宋_GB2312"/>
          <w:sz w:val="32"/>
          <w:szCs w:val="32"/>
          <w:highlight w:val="none"/>
        </w:rPr>
        <w:t>。</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（二）“三公”经费财政拨款支出决算具体情况说明。</w:t>
      </w:r>
    </w:p>
    <w:p>
      <w:pPr>
        <w:widowControl/>
        <w:spacing w:line="590" w:lineRule="exact"/>
        <w:ind w:firstLine="640" w:firstLineChars="200"/>
        <w:rPr>
          <w:rFonts w:hint="eastAsia" w:ascii="仿宋_GB2312" w:hAnsi="仿宋_GB2312" w:eastAsia="仿宋_GB2312" w:cs="仿宋_GB2312"/>
          <w:color w:val="auto"/>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年度“三公”经费财政拨款支出决算中，因公出国（境）费支出决算</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auto"/>
          <w:sz w:val="32"/>
          <w:szCs w:val="32"/>
          <w:highlight w:val="none"/>
        </w:rPr>
        <w:t>；公务用车购置及运行费支出决算</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万元；公务接待费支出决算</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万元。具体情况如下：</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1．因公出国（境）费</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决算数与预算数不存在差异</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2．公务用车购置及运行费</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决算数与预算数不存在差异</w:t>
      </w:r>
      <w:r>
        <w:rPr>
          <w:rFonts w:hint="eastAsia" w:ascii="仿宋_GB2312" w:hAnsi="仿宋_GB2312" w:eastAsia="仿宋_GB2312" w:cs="仿宋_GB2312"/>
          <w:sz w:val="32"/>
          <w:szCs w:val="32"/>
          <w:highlight w:val="none"/>
        </w:rPr>
        <w:t>。其中：</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公务用车购置支出</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万元，购置车辆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公务用车运行支出</w:t>
      </w:r>
      <w:r>
        <w:rPr>
          <w:rFonts w:hint="eastAsia" w:ascii="仿宋_GB2312" w:hAnsi="仿宋_GB2312" w:eastAsia="仿宋_GB2312" w:cs="仿宋_GB2312"/>
          <w:b w:val="0"/>
          <w:bCs w:val="0"/>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年期末，单位开支财政</w:t>
      </w:r>
      <w:r>
        <w:rPr>
          <w:rFonts w:hint="eastAsia" w:ascii="仿宋_GB2312" w:hAnsi="仿宋_GB2312" w:eastAsia="仿宋_GB2312" w:cs="仿宋_GB2312"/>
          <w:color w:val="auto"/>
          <w:sz w:val="32"/>
          <w:szCs w:val="32"/>
          <w:highlight w:val="none"/>
        </w:rPr>
        <w:t>拨款的公务用车保有量为</w:t>
      </w:r>
      <w:r>
        <w:rPr>
          <w:rFonts w:hint="eastAsia" w:ascii="仿宋_GB2312" w:hAnsi="仿宋_GB2312" w:eastAsia="仿宋_GB2312" w:cs="仿宋_GB2312"/>
          <w:color w:val="auto"/>
          <w:sz w:val="32"/>
          <w:szCs w:val="32"/>
          <w:highlight w:val="none"/>
          <w:lang w:val="en-US" w:eastAsia="zh-CN"/>
        </w:rPr>
        <w:t>1辆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我单位2021年12月划拨入车辆一辆，当年无费用支出。</w:t>
      </w:r>
      <w:r>
        <w:rPr>
          <w:rFonts w:hint="eastAsia" w:ascii="仿宋_GB2312" w:hAnsi="仿宋_GB2312" w:eastAsia="仿宋_GB2312" w:cs="仿宋_GB2312"/>
          <w:sz w:val="32"/>
          <w:szCs w:val="32"/>
          <w:highlight w:val="none"/>
          <w:lang w:eastAsia="zh-CN"/>
        </w:rPr>
        <w:t>）</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3.公务接待费</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0.10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%。决算数与预算数存在差异的主要原因是</w:t>
      </w:r>
      <w:r>
        <w:rPr>
          <w:rFonts w:hint="eastAsia" w:ascii="仿宋_GB2312" w:hAnsi="仿宋_GB2312" w:eastAsia="仿宋_GB2312" w:cs="仿宋_GB2312"/>
          <w:sz w:val="32"/>
          <w:szCs w:val="32"/>
          <w:highlight w:val="none"/>
          <w:lang w:val="en-US" w:eastAsia="zh-CN"/>
        </w:rPr>
        <w:t>2021年没有公务接待任务</w:t>
      </w:r>
      <w:r>
        <w:rPr>
          <w:rFonts w:hint="eastAsia" w:ascii="仿宋_GB2312" w:hAnsi="仿宋_GB2312" w:eastAsia="仿宋_GB2312" w:cs="仿宋_GB2312"/>
          <w:sz w:val="32"/>
          <w:szCs w:val="32"/>
          <w:highlight w:val="none"/>
        </w:rPr>
        <w:t>。其中：</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外宾接待支出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年共接待国（境）外来访团组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个、来访外宾</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人次（不包括陪同人员）。</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其他国内公务接待支出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年共接待国内来访团组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个、来宾</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人次（不包括陪同人员）。</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八、政府性基金预算财政拨款支出决算情况说明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highlight w:val="none"/>
          <w:lang w:val="en-US" w:eastAsia="zh-CN"/>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年度政府性基金预算财政拨款支出</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不存在项目年末结转和结余资金数较大。</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情况说明：</w:t>
      </w:r>
      <w:r>
        <w:rPr>
          <w:rFonts w:hint="eastAsia" w:ascii="仿宋_GB2312" w:hAnsi="仿宋_GB2312" w:eastAsia="仿宋_GB2312" w:cs="仿宋_GB2312"/>
          <w:sz w:val="32"/>
          <w:szCs w:val="32"/>
          <w:highlight w:val="none"/>
        </w:rPr>
        <w:t>我部门202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九、机关运行经费支出情况说明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2021年度机关运行经费年初预算为0.00万元，支出决算为0.00万元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情况说明：</w:t>
      </w:r>
      <w:r>
        <w:rPr>
          <w:rFonts w:hint="eastAsia" w:ascii="仿宋_GB2312" w:hAnsi="仿宋_GB2312" w:eastAsia="仿宋_GB2312" w:cs="仿宋_GB2312"/>
          <w:color w:val="auto"/>
          <w:sz w:val="32"/>
          <w:szCs w:val="32"/>
          <w:highlight w:val="none"/>
          <w:lang w:val="en-US" w:eastAsia="zh-CN"/>
        </w:rPr>
        <w:t>我单位不是行政机关，也不是参照公务员管理事业单位，没有机关运行经费支出。</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十、政府采购支出情况说明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年度政府采购支出总额</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万元，其中：政府采购货物支出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万元、政府采购工程支出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万元、政府采购服务支出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万元。授予中小企业合同金额</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万元，其中：授予小微企业合同金额</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十一、国有资产占用情况说明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年期末，我单位共有车辆</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辆，其中：省级领导干部用车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辆、主要领导干部用车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辆、机要通信用车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辆、应急保障车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辆、执法执勤用车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辆、离退休干部用车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辆、其他用车</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辆；单位价值50万元以上通用设备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台（套），单位价值100万元以上专用设备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十二、预算绩效情况说明</w:t>
      </w:r>
    </w:p>
    <w:p>
      <w:pPr>
        <w:keepNext w:val="0"/>
        <w:keepLines w:val="0"/>
        <w:pageBreakBefore w:val="0"/>
        <w:widowControl/>
        <w:kinsoku/>
        <w:wordWrap/>
        <w:overflowPunct/>
        <w:topLinePunct w:val="0"/>
        <w:autoSpaceDE/>
        <w:autoSpaceDN/>
        <w:bidi w:val="0"/>
        <w:adjustRightInd/>
        <w:snapToGrid/>
        <w:spacing w:line="360" w:lineRule="auto"/>
        <w:ind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我单位按照《中共许昌市委 许昌市人民政府关于全面实施预算绩效管理的实施意见》（许发〔2021〕13号）文件要求，对本单位整体支出和项目支出开展全过程预算绩效管理。</w:t>
      </w:r>
    </w:p>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我单位根据预算绩效管理要求，加强组织领导，充分认识绩效管理工作的重要性，积极配合相关工作人员做好相关工作，不断增强支出责任和效率意识，严格按照预算绩效管理工作相关要求，在规定时间内完成了各项工作任务，保障单位日常工作有效运行，不断提高财政资金使用效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 xml:space="preserve">    （二）部门（单位）整体和项目绩效自评结果。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按照《许昌市财政局关于开展2021年度市级预算绩效自评工作的通知》（许财效）〔2021〕1号）等文件精神，我单位对本单位整体绩效目标和项目支出绩效目标进行了自评。一是单位整体绩效自评情况：我单位认真落实市委、市政府关于全面推行河湖长制工作的决策部署，扎实推进河湖保护治理，持续推动河湖面貌改善。市、县、乡、村各级河湖长积极履职，市河长办开展6轮74次暗访核查，全市各级河湖长巡河19.82万次，巡河执行率99.9%，在全省排名第一。“河湖长+网格长”、“河湖长+检察长”、“河湖长+警长”、“河湖长+监督员”实现市、县两级全面覆盖。完成“四乱”重点问题治理157个，基层检察院向有关行政机关发送诉前检察建议34件，全市范围内规模以上私挖滥采河砂全面杜绝，规模以下零星盗采得到有效管控。2021年，许昌市河湖管理中心被水利部评为“全面推行河长制湖长制先进集体”。评价结果为优。二是项目绩效自评情况:我单位共有0个项目批复了绩效目标，项目金额0.00万元。</w:t>
      </w:r>
    </w:p>
    <w:p>
      <w:pPr>
        <w:keepNext w:val="0"/>
        <w:keepLines w:val="0"/>
        <w:pageBreakBefore w:val="0"/>
        <w:widowControl/>
        <w:kinsoku/>
        <w:wordWrap/>
        <w:overflowPunct/>
        <w:topLinePunct w:val="0"/>
        <w:autoSpaceDE/>
        <w:autoSpaceDN/>
        <w:bidi w:val="0"/>
        <w:adjustRightInd/>
        <w:snapToGrid/>
        <w:spacing w:line="360" w:lineRule="auto"/>
        <w:ind w:right="0" w:rightChars="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楷体_GB2312" w:hAnsi="楷体_GB2312" w:eastAsia="楷体_GB2312" w:cs="楷体_GB2312"/>
          <w:b/>
          <w:bCs/>
          <w:color w:val="auto"/>
          <w:sz w:val="32"/>
          <w:szCs w:val="32"/>
          <w:highlight w:val="none"/>
          <w:lang w:val="en-US" w:eastAsia="zh-CN"/>
        </w:rPr>
        <w:t xml:space="preserve">   （三）重点绩效评价结果。</w:t>
      </w:r>
    </w:p>
    <w:p>
      <w:pPr>
        <w:keepNext w:val="0"/>
        <w:keepLines w:val="0"/>
        <w:pageBreakBefore w:val="0"/>
        <w:widowControl/>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2021年度我单位没有开展重点绩效评价的项目。</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both"/>
        <w:outlineLvl w:val="0"/>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 xml:space="preserve">       </w:t>
      </w:r>
    </w:p>
    <w:p>
      <w:pPr>
        <w:jc w:val="both"/>
        <w:outlineLvl w:val="0"/>
        <w:rPr>
          <w:rFonts w:hint="eastAsia" w:ascii="黑体" w:hAnsi="黑体" w:eastAsia="黑体" w:cs="黑体"/>
          <w:sz w:val="48"/>
          <w:szCs w:val="48"/>
          <w:highlight w:val="none"/>
          <w:lang w:val="en-US" w:eastAsia="zh-CN"/>
        </w:rPr>
      </w:pPr>
    </w:p>
    <w:p>
      <w:pPr>
        <w:jc w:val="both"/>
        <w:outlineLvl w:val="0"/>
        <w:rPr>
          <w:rFonts w:hint="eastAsia" w:ascii="黑体" w:hAnsi="黑体" w:eastAsia="黑体" w:cs="黑体"/>
          <w:sz w:val="48"/>
          <w:szCs w:val="48"/>
          <w:highlight w:val="none"/>
        </w:rPr>
      </w:pPr>
      <w:r>
        <w:rPr>
          <w:rFonts w:hint="eastAsia" w:ascii="黑体" w:hAnsi="黑体" w:eastAsia="黑体" w:cs="黑体"/>
          <w:sz w:val="48"/>
          <w:szCs w:val="48"/>
          <w:highlight w:val="none"/>
          <w:lang w:val="en-US" w:eastAsia="zh-CN"/>
        </w:rPr>
        <w:t xml:space="preserve">         </w:t>
      </w:r>
      <w:r>
        <w:rPr>
          <w:rFonts w:hint="eastAsia" w:ascii="黑体" w:hAnsi="黑体" w:eastAsia="黑体" w:cs="黑体"/>
          <w:sz w:val="48"/>
          <w:szCs w:val="48"/>
          <w:highlight w:val="none"/>
        </w:rPr>
        <w:t>第四部分  名词解释</w:t>
      </w:r>
    </w:p>
    <w:p>
      <w:pPr>
        <w:jc w:val="center"/>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sectPr>
          <w:pgSz w:w="11906" w:h="16838"/>
          <w:pgMar w:top="1440" w:right="1531" w:bottom="1440" w:left="1587" w:header="850" w:footer="992" w:gutter="0"/>
          <w:pgBorders>
            <w:top w:val="none" w:sz="0" w:space="0"/>
            <w:left w:val="none" w:sz="0" w:space="0"/>
            <w:bottom w:val="none" w:sz="0" w:space="0"/>
            <w:right w:val="none" w:sz="0" w:space="0"/>
          </w:pgBorders>
          <w:pgNumType w:fmt="decimal"/>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vert="horz" wrap="none" lIns="0" tIns="0" rIns="0" bIns="0" upright="0">
                      <a:spAutoFit/>
                    </wps:bodyPr>
                  </wps:wsp>
                </a:graphicData>
              </a:graphic>
            </wp:anchor>
          </w:drawing>
        </mc:Choice>
        <mc:Fallback>
          <w:pict>
            <v:shape id="文本框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j5+XDRAQAApA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KlDJpzwEAAKQDAAAOAAAAAAAAAAEAIAAAAB4BAABkcnMv&#10;ZTJvRG9jLnhtbFBLBQYAAAAABgAGAFkBAABf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C4rGgzRAQAApA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- 2 -</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DTMsf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- 2 -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jJlNTM4ODlkODU0ODBlY2U2ZTZhZjkyODAwMjcifQ=="/>
  </w:docVars>
  <w:rsids>
    <w:rsidRoot w:val="00172A27"/>
    <w:rsid w:val="1D763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uiPriority w:val="99"/>
    <w:rPr>
      <w:color w:val="800080"/>
      <w:u w:val="single"/>
    </w:rPr>
  </w:style>
  <w:style w:type="character" w:styleId="8">
    <w:name w:val="Hyperlink"/>
    <w:unhideWhenUsed/>
    <w:uiPriority w:val="99"/>
    <w:rPr>
      <w:color w:val="0000FF"/>
      <w:u w:val="single"/>
    </w:rPr>
  </w:style>
  <w:style w:type="character" w:customStyle="1" w:styleId="9">
    <w:name w:val="font01"/>
    <w:uiPriority w:val="0"/>
    <w:rPr>
      <w:rFonts w:hint="eastAsia" w:ascii="宋体" w:hAnsi="宋体" w:eastAsia="宋体" w:cs="宋体"/>
      <w:color w:val="000000"/>
      <w:sz w:val="22"/>
      <w:szCs w:val="22"/>
      <w:u w:val="none"/>
    </w:rPr>
  </w:style>
  <w:style w:type="character" w:customStyle="1" w:styleId="10">
    <w:name w:val="font51"/>
    <w:uiPriority w:val="0"/>
    <w:rPr>
      <w:rFonts w:hint="eastAsia" w:ascii="宋体" w:hAnsi="宋体" w:eastAsia="宋体" w:cs="宋体"/>
      <w:color w:val="000000"/>
      <w:sz w:val="24"/>
      <w:szCs w:val="24"/>
      <w:u w:val="none"/>
    </w:rPr>
  </w:style>
  <w:style w:type="character" w:customStyle="1" w:styleId="11">
    <w:name w:val="font11"/>
    <w:uiPriority w:val="0"/>
    <w:rPr>
      <w:rFonts w:hint="eastAsia" w:ascii="宋体" w:hAnsi="宋体" w:eastAsia="宋体" w:cs="宋体"/>
      <w:color w:val="000000"/>
      <w:sz w:val="20"/>
      <w:szCs w:val="20"/>
      <w:u w:val="none"/>
    </w:rPr>
  </w:style>
  <w:style w:type="character" w:customStyle="1" w:styleId="12">
    <w:name w:val="font41"/>
    <w:uiPriority w:val="0"/>
    <w:rPr>
      <w:rFonts w:hint="eastAsia" w:ascii="宋体" w:hAnsi="宋体" w:eastAsia="宋体" w:cs="宋体"/>
      <w:color w:val="000000"/>
      <w:sz w:val="24"/>
      <w:szCs w:val="24"/>
      <w:u w:val="none"/>
    </w:rPr>
  </w:style>
  <w:style w:type="character" w:customStyle="1" w:styleId="13">
    <w:name w:val="页脚 Char Char Char"/>
    <w:link w:val="3"/>
    <w:uiPriority w:val="99"/>
    <w:rPr>
      <w:kern w:val="2"/>
      <w:sz w:val="18"/>
      <w:szCs w:val="18"/>
    </w:rPr>
  </w:style>
  <w:style w:type="character" w:customStyle="1" w:styleId="14">
    <w:name w:val="页眉 Char Char Char"/>
    <w:link w:val="4"/>
    <w:uiPriority w:val="99"/>
    <w:rPr>
      <w:kern w:val="2"/>
      <w:sz w:val="18"/>
      <w:szCs w:val="18"/>
    </w:rPr>
  </w:style>
  <w:style w:type="character" w:customStyle="1" w:styleId="15">
    <w:name w:val="批注框文本 Char Char Char"/>
    <w:link w:val="2"/>
    <w:uiPriority w:val="99"/>
    <w:rPr>
      <w:kern w:val="2"/>
      <w:sz w:val="18"/>
      <w:szCs w:val="18"/>
    </w:rPr>
  </w:style>
  <w:style w:type="character" w:customStyle="1" w:styleId="16">
    <w:name w:val="font21"/>
    <w:uiPriority w:val="0"/>
    <w:rPr>
      <w:rFonts w:hint="eastAsia" w:ascii="宋体" w:hAnsi="宋体" w:eastAsia="宋体" w:cs="宋体"/>
      <w:color w:val="000000"/>
      <w:sz w:val="22"/>
      <w:szCs w:val="22"/>
      <w:u w:val="none"/>
    </w:rPr>
  </w:style>
  <w:style w:type="paragraph" w:customStyle="1" w:styleId="17">
    <w:name w:val="p0"/>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28</Pages>
  <Words>7593</Words>
  <Characters>9091</Characters>
  <Lines>60</Lines>
  <Paragraphs>16</Paragraphs>
  <TotalTime>0</TotalTime>
  <ScaleCrop>false</ScaleCrop>
  <LinksUpToDate>false</LinksUpToDate>
  <CharactersWithSpaces>9346</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2007-11-29T11:41:00Z</dcterms:created>
  <dc:creator>管理者</dc:creator>
  <cp:lastModifiedBy>悟の</cp:lastModifiedBy>
  <cp:lastPrinted>2022-09-09T15:57:33Z</cp:lastPrinted>
  <dcterms:modified xsi:type="dcterms:W3CDTF">2022-09-22T07:52:53Z</dcterms:modified>
  <dc:title>2021年度</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66F161B87D754029A7C19E4B16F8B39D</vt:lpwstr>
  </property>
</Properties>
</file>