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bookmarkStart w:id="0" w:name="_GoBack"/>
      <w:bookmarkEnd w:id="0"/>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许昌市污水处理费征收中心部门决算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许昌市污水处理费征收中心概况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tabs>
          <w:tab w:val="left" w:pos="630"/>
        </w:tabs>
        <w:jc w:val="center"/>
        <w:outlineLvl w:val="0"/>
        <w:rPr>
          <w:rFonts w:hint="eastAsia" w:ascii="黑体" w:hAnsi="宋体" w:eastAsia="黑体" w:cs="宋体"/>
          <w:kern w:val="0"/>
          <w:sz w:val="48"/>
          <w:szCs w:val="48"/>
        </w:rPr>
      </w:pPr>
      <w:r>
        <w:rPr>
          <w:rFonts w:hint="eastAsia" w:ascii="黑体" w:hAnsi="黑体" w:eastAsia="黑体" w:cs="黑体"/>
          <w:sz w:val="48"/>
          <w:szCs w:val="48"/>
        </w:rPr>
        <w:t>第一部分 许昌市污水处理费征收中心概况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outlineLvl w:val="1"/>
        <w:rPr>
          <w:rFonts w:hint="eastAsia" w:ascii="仿宋_GB2312" w:hAnsi="宋体" w:eastAsia="仿宋_GB2312" w:cs="宋体"/>
          <w:kern w:val="0"/>
          <w:sz w:val="32"/>
          <w:szCs w:val="32"/>
        </w:rPr>
      </w:pPr>
      <w:r>
        <w:rPr>
          <w:rFonts w:hint="eastAsia" w:ascii="仿宋_GB2312" w:hAnsi="仿宋_GB2312" w:eastAsia="仿宋_GB2312" w:cs="仿宋_GB2312"/>
          <w:sz w:val="32"/>
          <w:szCs w:val="32"/>
        </w:rPr>
        <w:t>根据《许昌市机构编制委员会关于明确许昌市污水处理费征收中心机构编制等有关问题的通知》（许编[2009]9号），许昌市污水处理费征收中心主要职责是：负责城市规划区内污水处理费的征收及管理工作。</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许昌市污水处理费征收中心内设机构4个，包括:办公室、计统科、征收管理科、排水管理科。</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从决算单位构成看，许昌市污水处理费征收中心决算包括：本级决算。</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纳入本部门2020年度部门决算编制范围的单位共1个，具体是：</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许昌市污水处理费征收中心</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宋体" w:eastAsia="黑体" w:cs="宋体"/>
          <w:kern w:val="0"/>
          <w:sz w:val="48"/>
          <w:szCs w:val="4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sz w:val="48"/>
          <w:szCs w:val="48"/>
        </w:rPr>
        <w:t>第二部分  2021年度部门决算表</w:t>
      </w:r>
    </w:p>
    <w:p>
      <w:pPr>
        <w:rPr>
          <w:rFonts w:hint="eastAsia" w:ascii="仿宋_GB2312" w:hAnsi="仿宋_GB2312" w:eastAsia="仿宋_GB2312" w:cs="仿宋_GB2312"/>
          <w:sz w:val="32"/>
          <w:szCs w:val="32"/>
        </w:rPr>
      </w:pPr>
    </w:p>
    <w:tbl>
      <w:tblPr>
        <w:tblStyle w:val="5"/>
        <w:tblW w:w="127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67"/>
        <w:gridCol w:w="820"/>
        <w:gridCol w:w="1026"/>
        <w:gridCol w:w="4392"/>
        <w:gridCol w:w="820"/>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750" w:type="dxa"/>
            <w:gridSpan w:val="6"/>
            <w:tcBorders>
              <w:top w:val="nil"/>
              <w:left w:val="nil"/>
              <w:bottom w:val="nil"/>
              <w:right w:val="nil"/>
            </w:tcBorders>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67" w:type="dxa"/>
            <w:tcBorders>
              <w:top w:val="nil"/>
              <w:left w:val="nil"/>
              <w:bottom w:val="nil"/>
              <w:right w:val="nil"/>
            </w:tcBorders>
            <w:vAlign w:val="bottom"/>
          </w:tcPr>
          <w:p>
            <w:pPr>
              <w:rPr>
                <w:rFonts w:hint="eastAsia" w:ascii="Arial" w:hAnsi="Arial" w:cs="Arial"/>
                <w:color w:val="000000"/>
                <w:sz w:val="20"/>
                <w:szCs w:val="20"/>
              </w:rPr>
            </w:pPr>
          </w:p>
        </w:tc>
        <w:tc>
          <w:tcPr>
            <w:tcW w:w="820" w:type="dxa"/>
            <w:tcBorders>
              <w:top w:val="nil"/>
              <w:left w:val="nil"/>
              <w:bottom w:val="nil"/>
              <w:right w:val="nil"/>
            </w:tcBorders>
            <w:vAlign w:val="bottom"/>
          </w:tcPr>
          <w:p>
            <w:pPr>
              <w:rPr>
                <w:rFonts w:ascii="Arial" w:hAnsi="Arial" w:cs="Arial"/>
                <w:color w:val="000000"/>
                <w:sz w:val="20"/>
                <w:szCs w:val="20"/>
              </w:rPr>
            </w:pPr>
          </w:p>
        </w:tc>
        <w:tc>
          <w:tcPr>
            <w:tcW w:w="1026" w:type="dxa"/>
            <w:tcBorders>
              <w:top w:val="nil"/>
              <w:left w:val="nil"/>
              <w:bottom w:val="nil"/>
              <w:right w:val="nil"/>
            </w:tcBorders>
            <w:vAlign w:val="bottom"/>
          </w:tcPr>
          <w:p>
            <w:pPr>
              <w:rPr>
                <w:rFonts w:ascii="Arial" w:hAnsi="Arial" w:cs="Arial"/>
                <w:color w:val="000000"/>
                <w:sz w:val="20"/>
                <w:szCs w:val="20"/>
              </w:rPr>
            </w:pPr>
          </w:p>
        </w:tc>
        <w:tc>
          <w:tcPr>
            <w:tcW w:w="4392" w:type="dxa"/>
            <w:tcBorders>
              <w:top w:val="nil"/>
              <w:left w:val="nil"/>
              <w:bottom w:val="nil"/>
              <w:right w:val="nil"/>
            </w:tcBorders>
            <w:vAlign w:val="bottom"/>
          </w:tcPr>
          <w:p>
            <w:pPr>
              <w:rPr>
                <w:rFonts w:ascii="Arial" w:hAnsi="Arial" w:cs="Arial"/>
                <w:color w:val="000000"/>
                <w:sz w:val="20"/>
                <w:szCs w:val="20"/>
              </w:rPr>
            </w:pPr>
          </w:p>
        </w:tc>
        <w:tc>
          <w:tcPr>
            <w:tcW w:w="1845"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13" w:type="dxa"/>
            <w:gridSpan w:val="3"/>
            <w:tcBorders>
              <w:top w:val="nil"/>
              <w:left w:val="nil"/>
              <w:bottom w:val="nil"/>
              <w:right w:val="nil"/>
            </w:tcBorders>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rPr>
              <w:t>部门：许昌市污水处理费征收中心</w:t>
            </w:r>
          </w:p>
        </w:tc>
        <w:tc>
          <w:tcPr>
            <w:tcW w:w="4392" w:type="dxa"/>
            <w:tcBorders>
              <w:top w:val="nil"/>
              <w:left w:val="nil"/>
              <w:bottom w:val="nil"/>
              <w:right w:val="nil"/>
            </w:tcBorders>
            <w:vAlign w:val="bottom"/>
          </w:tcPr>
          <w:p>
            <w:pPr>
              <w:rPr>
                <w:rFonts w:ascii="Arial" w:hAnsi="Arial" w:cs="Arial"/>
                <w:color w:val="000000"/>
                <w:sz w:val="20"/>
                <w:szCs w:val="20"/>
              </w:rPr>
            </w:pPr>
          </w:p>
        </w:tc>
        <w:tc>
          <w:tcPr>
            <w:tcW w:w="1845"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1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收入</w:t>
            </w:r>
          </w:p>
        </w:tc>
        <w:tc>
          <w:tcPr>
            <w:tcW w:w="6237"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项目</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行次</w:t>
            </w:r>
          </w:p>
        </w:tc>
        <w:tc>
          <w:tcPr>
            <w:tcW w:w="10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w:t>
            </w:r>
          </w:p>
        </w:tc>
        <w:tc>
          <w:tcPr>
            <w:tcW w:w="439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项目</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行次</w:t>
            </w:r>
          </w:p>
        </w:tc>
        <w:tc>
          <w:tcPr>
            <w:tcW w:w="10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栏次</w:t>
            </w:r>
          </w:p>
        </w:tc>
        <w:tc>
          <w:tcPr>
            <w:tcW w:w="820" w:type="dxa"/>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10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439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栏次</w:t>
            </w:r>
          </w:p>
        </w:tc>
        <w:tc>
          <w:tcPr>
            <w:tcW w:w="820" w:type="dxa"/>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10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一、一般公共预算财政拨款收入</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10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397.53</w:t>
            </w: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一、一般公共服务支出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二、政府性基金预算财政拨款收入</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二、外交支出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三、国有资本经营预算财政拨款收入</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三、国防支出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四、上级补助收入</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四、公共安全支出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五、事业收入</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五、教育支出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六、经营收入</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六、科学技术支出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七、附属单位上缴收入</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七、文化旅游体育与传媒支出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八、其他收入</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八、社会保障和就业支出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1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九、卫生健康支出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1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十、节能环保支出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41</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十一、城乡社区支出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十二、农林水支出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43</w:t>
            </w:r>
          </w:p>
        </w:tc>
        <w:tc>
          <w:tcPr>
            <w:tcW w:w="1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389.54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十三、交通运输支出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44</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十四、资源勘探工业信息等支出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十五、商业服务业等支出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46</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十六、金融支出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十七、援助其他地区支出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十八、自然资源海洋气象等支出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49</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十九、住房保障支出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二十、粮油物资储备支出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二十一、国有资本经营预算支出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二十二、灾害防治及应急管理支出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53</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二十三、其他支出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54</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二十四、债务还本支出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55</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二十五、债务付息支出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56</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二十六、抗疫特别国债安排的支出</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57</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本年收入合计</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0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397.53</w:t>
            </w:r>
          </w:p>
        </w:tc>
        <w:tc>
          <w:tcPr>
            <w:tcW w:w="439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本年支出合计</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58</w:t>
            </w:r>
          </w:p>
        </w:tc>
        <w:tc>
          <w:tcPr>
            <w:tcW w:w="1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使用非财政拨款结余</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结余分配</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59</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年初结转和结余</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0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35.54</w:t>
            </w:r>
          </w:p>
        </w:tc>
        <w:tc>
          <w:tcPr>
            <w:tcW w:w="43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年末结转和结余</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0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4392" w:type="dxa"/>
            <w:tcBorders>
              <w:top w:val="nil"/>
              <w:left w:val="nil"/>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61</w:t>
            </w:r>
          </w:p>
        </w:tc>
        <w:tc>
          <w:tcPr>
            <w:tcW w:w="1025" w:type="dxa"/>
            <w:tcBorders>
              <w:top w:val="nil"/>
              <w:left w:val="nil"/>
              <w:bottom w:val="single" w:color="000000" w:sz="4" w:space="0"/>
              <w:right w:val="single" w:color="000000" w:sz="4" w:space="0"/>
            </w:tcBorders>
            <w:vAlign w:val="center"/>
          </w:tcPr>
          <w:p>
            <w:pPr>
              <w:jc w:val="lef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总计</w:t>
            </w:r>
          </w:p>
        </w:tc>
        <w:tc>
          <w:tcPr>
            <w:tcW w:w="820"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0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439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总计</w:t>
            </w:r>
          </w:p>
        </w:tc>
        <w:tc>
          <w:tcPr>
            <w:tcW w:w="8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62</w:t>
            </w:r>
          </w:p>
        </w:tc>
        <w:tc>
          <w:tcPr>
            <w:tcW w:w="1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50" w:type="dxa"/>
            <w:gridSpan w:val="6"/>
            <w:tcBorders>
              <w:top w:val="nil"/>
              <w:left w:val="nil"/>
              <w:bottom w:val="nil"/>
              <w:right w:val="nil"/>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page" w:tblpX="1497" w:tblpY="11"/>
        <w:tblOverlap w:val="never"/>
        <w:tblW w:w="135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896"/>
        <w:gridCol w:w="1243"/>
        <w:gridCol w:w="1270"/>
        <w:gridCol w:w="967"/>
        <w:gridCol w:w="1031"/>
        <w:gridCol w:w="1078"/>
        <w:gridCol w:w="1105"/>
        <w:gridCol w:w="1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87" w:type="dxa"/>
            <w:gridSpan w:val="11"/>
            <w:tcBorders>
              <w:top w:val="nil"/>
              <w:left w:val="nil"/>
              <w:bottom w:val="nil"/>
              <w:right w:val="nil"/>
            </w:tcBorders>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vAlign w:val="bottom"/>
          </w:tcPr>
          <w:p>
            <w:pPr>
              <w:rPr>
                <w:rFonts w:hint="eastAsia" w:ascii="Arial" w:hAnsi="Arial" w:cs="Arial"/>
                <w:color w:val="000000"/>
                <w:sz w:val="20"/>
                <w:szCs w:val="20"/>
              </w:rPr>
            </w:pPr>
          </w:p>
        </w:tc>
        <w:tc>
          <w:tcPr>
            <w:tcW w:w="329" w:type="dxa"/>
            <w:tcBorders>
              <w:top w:val="nil"/>
              <w:left w:val="nil"/>
              <w:bottom w:val="nil"/>
              <w:right w:val="nil"/>
            </w:tcBorders>
            <w:vAlign w:val="bottom"/>
          </w:tcPr>
          <w:p>
            <w:pPr>
              <w:rPr>
                <w:rFonts w:ascii="Arial" w:hAnsi="Arial" w:cs="Arial"/>
                <w:color w:val="000000"/>
                <w:sz w:val="20"/>
                <w:szCs w:val="20"/>
              </w:rPr>
            </w:pPr>
          </w:p>
        </w:tc>
        <w:tc>
          <w:tcPr>
            <w:tcW w:w="329" w:type="dxa"/>
            <w:tcBorders>
              <w:top w:val="nil"/>
              <w:left w:val="nil"/>
              <w:bottom w:val="nil"/>
              <w:right w:val="nil"/>
            </w:tcBorders>
            <w:vAlign w:val="bottom"/>
          </w:tcPr>
          <w:p>
            <w:pPr>
              <w:rPr>
                <w:rFonts w:ascii="Arial" w:hAnsi="Arial" w:cs="Arial"/>
                <w:color w:val="000000"/>
                <w:sz w:val="20"/>
                <w:szCs w:val="20"/>
              </w:rPr>
            </w:pPr>
          </w:p>
        </w:tc>
        <w:tc>
          <w:tcPr>
            <w:tcW w:w="4896" w:type="dxa"/>
            <w:tcBorders>
              <w:top w:val="nil"/>
              <w:left w:val="nil"/>
              <w:bottom w:val="nil"/>
              <w:right w:val="nil"/>
            </w:tcBorders>
            <w:vAlign w:val="bottom"/>
          </w:tcPr>
          <w:p>
            <w:pPr>
              <w:rPr>
                <w:rFonts w:ascii="Arial" w:hAnsi="Arial" w:cs="Arial"/>
                <w:color w:val="000000"/>
                <w:sz w:val="20"/>
                <w:szCs w:val="20"/>
              </w:rPr>
            </w:pPr>
          </w:p>
        </w:tc>
        <w:tc>
          <w:tcPr>
            <w:tcW w:w="1243" w:type="dxa"/>
            <w:tcBorders>
              <w:top w:val="nil"/>
              <w:left w:val="nil"/>
              <w:bottom w:val="nil"/>
              <w:right w:val="nil"/>
            </w:tcBorders>
            <w:vAlign w:val="bottom"/>
          </w:tcPr>
          <w:p>
            <w:pPr>
              <w:rPr>
                <w:rFonts w:ascii="Arial" w:hAnsi="Arial" w:cs="Arial"/>
                <w:color w:val="000000"/>
                <w:sz w:val="20"/>
                <w:szCs w:val="20"/>
              </w:rPr>
            </w:pPr>
          </w:p>
        </w:tc>
        <w:tc>
          <w:tcPr>
            <w:tcW w:w="1270" w:type="dxa"/>
            <w:tcBorders>
              <w:top w:val="nil"/>
              <w:left w:val="nil"/>
              <w:bottom w:val="nil"/>
              <w:right w:val="nil"/>
            </w:tcBorders>
            <w:vAlign w:val="bottom"/>
          </w:tcPr>
          <w:p>
            <w:pPr>
              <w:rPr>
                <w:rFonts w:ascii="Arial" w:hAnsi="Arial" w:cs="Arial"/>
                <w:color w:val="000000"/>
                <w:sz w:val="20"/>
                <w:szCs w:val="20"/>
              </w:rPr>
            </w:pPr>
          </w:p>
        </w:tc>
        <w:tc>
          <w:tcPr>
            <w:tcW w:w="967" w:type="dxa"/>
            <w:tcBorders>
              <w:top w:val="nil"/>
              <w:left w:val="nil"/>
              <w:bottom w:val="nil"/>
              <w:right w:val="nil"/>
            </w:tcBorders>
            <w:vAlign w:val="bottom"/>
          </w:tcPr>
          <w:p>
            <w:pPr>
              <w:rPr>
                <w:rFonts w:ascii="Arial" w:hAnsi="Arial" w:cs="Arial"/>
                <w:color w:val="000000"/>
                <w:sz w:val="20"/>
                <w:szCs w:val="20"/>
              </w:rPr>
            </w:pPr>
          </w:p>
        </w:tc>
        <w:tc>
          <w:tcPr>
            <w:tcW w:w="1031" w:type="dxa"/>
            <w:tcBorders>
              <w:top w:val="nil"/>
              <w:left w:val="nil"/>
              <w:bottom w:val="nil"/>
              <w:right w:val="nil"/>
            </w:tcBorders>
            <w:vAlign w:val="bottom"/>
          </w:tcPr>
          <w:p>
            <w:pPr>
              <w:rPr>
                <w:rFonts w:ascii="Arial" w:hAnsi="Arial" w:cs="Arial"/>
                <w:color w:val="000000"/>
                <w:sz w:val="20"/>
                <w:szCs w:val="20"/>
              </w:rPr>
            </w:pPr>
          </w:p>
        </w:tc>
        <w:tc>
          <w:tcPr>
            <w:tcW w:w="1078" w:type="dxa"/>
            <w:tcBorders>
              <w:top w:val="nil"/>
              <w:left w:val="nil"/>
              <w:bottom w:val="nil"/>
              <w:right w:val="nil"/>
            </w:tcBorders>
            <w:vAlign w:val="bottom"/>
          </w:tcPr>
          <w:p>
            <w:pPr>
              <w:rPr>
                <w:rFonts w:ascii="Arial" w:hAnsi="Arial" w:cs="Arial"/>
                <w:color w:val="000000"/>
                <w:sz w:val="20"/>
                <w:szCs w:val="20"/>
              </w:rPr>
            </w:pPr>
          </w:p>
        </w:tc>
        <w:tc>
          <w:tcPr>
            <w:tcW w:w="2115"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126" w:type="dxa"/>
            <w:gridSpan w:val="5"/>
            <w:tcBorders>
              <w:top w:val="nil"/>
              <w:left w:val="nil"/>
              <w:bottom w:val="nil"/>
              <w:right w:val="nil"/>
            </w:tcBorders>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rPr>
              <w:t>部门：许昌市污水处理费征收中心</w:t>
            </w:r>
          </w:p>
        </w:tc>
        <w:tc>
          <w:tcPr>
            <w:tcW w:w="1270" w:type="dxa"/>
            <w:tcBorders>
              <w:top w:val="nil"/>
              <w:left w:val="nil"/>
              <w:bottom w:val="nil"/>
              <w:right w:val="nil"/>
            </w:tcBorders>
            <w:vAlign w:val="bottom"/>
          </w:tcPr>
          <w:p>
            <w:pPr>
              <w:rPr>
                <w:rFonts w:ascii="Arial" w:hAnsi="Arial" w:cs="Arial"/>
                <w:color w:val="000000"/>
                <w:sz w:val="20"/>
                <w:szCs w:val="20"/>
              </w:rPr>
            </w:pPr>
          </w:p>
        </w:tc>
        <w:tc>
          <w:tcPr>
            <w:tcW w:w="967" w:type="dxa"/>
            <w:tcBorders>
              <w:top w:val="nil"/>
              <w:left w:val="nil"/>
              <w:bottom w:val="nil"/>
              <w:right w:val="nil"/>
            </w:tcBorders>
            <w:vAlign w:val="bottom"/>
          </w:tcPr>
          <w:p>
            <w:pPr>
              <w:rPr>
                <w:rFonts w:ascii="Arial" w:hAnsi="Arial" w:cs="Arial"/>
                <w:color w:val="000000"/>
                <w:sz w:val="20"/>
                <w:szCs w:val="20"/>
              </w:rPr>
            </w:pPr>
          </w:p>
        </w:tc>
        <w:tc>
          <w:tcPr>
            <w:tcW w:w="1031" w:type="dxa"/>
            <w:tcBorders>
              <w:top w:val="nil"/>
              <w:left w:val="nil"/>
              <w:bottom w:val="nil"/>
              <w:right w:val="nil"/>
            </w:tcBorders>
            <w:vAlign w:val="bottom"/>
          </w:tcPr>
          <w:p>
            <w:pPr>
              <w:rPr>
                <w:rFonts w:ascii="Arial" w:hAnsi="Arial" w:cs="Arial"/>
                <w:color w:val="000000"/>
                <w:sz w:val="20"/>
                <w:szCs w:val="20"/>
              </w:rPr>
            </w:pPr>
          </w:p>
        </w:tc>
        <w:tc>
          <w:tcPr>
            <w:tcW w:w="1078" w:type="dxa"/>
            <w:tcBorders>
              <w:top w:val="nil"/>
              <w:left w:val="nil"/>
              <w:bottom w:val="nil"/>
              <w:right w:val="nil"/>
            </w:tcBorders>
            <w:vAlign w:val="bottom"/>
          </w:tcPr>
          <w:p>
            <w:pPr>
              <w:rPr>
                <w:rFonts w:ascii="Arial" w:hAnsi="Arial" w:cs="Arial"/>
                <w:color w:val="000000"/>
                <w:sz w:val="20"/>
                <w:szCs w:val="20"/>
              </w:rPr>
            </w:pPr>
          </w:p>
        </w:tc>
        <w:tc>
          <w:tcPr>
            <w:tcW w:w="2115"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124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本年收入合计</w:t>
            </w:r>
          </w:p>
        </w:tc>
        <w:tc>
          <w:tcPr>
            <w:tcW w:w="127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财政拨款收入</w:t>
            </w:r>
          </w:p>
        </w:tc>
        <w:tc>
          <w:tcPr>
            <w:tcW w:w="96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上级补助收入</w:t>
            </w:r>
          </w:p>
        </w:tc>
        <w:tc>
          <w:tcPr>
            <w:tcW w:w="103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事业收入</w:t>
            </w:r>
          </w:p>
        </w:tc>
        <w:tc>
          <w:tcPr>
            <w:tcW w:w="107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经营收入</w:t>
            </w:r>
          </w:p>
        </w:tc>
        <w:tc>
          <w:tcPr>
            <w:tcW w:w="110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附属单位上缴收入</w:t>
            </w:r>
          </w:p>
        </w:tc>
        <w:tc>
          <w:tcPr>
            <w:tcW w:w="101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48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2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27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3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4896"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27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3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4896"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27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3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12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2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0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0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1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c>
          <w:tcPr>
            <w:tcW w:w="10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397.53</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397.53</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一般公共服务支出</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群众团体事务</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2012906</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工会事务</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社会保障和就业支出</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26.27</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26.27</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行政事业单位养老支出</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26.27</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26.27</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2080502</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事业单位离退休</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2.13</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2.13</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2080505</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24.14</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24.14</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卫生健康支出</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行政事业单位医疗</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2101102</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事业单位医疗</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12.13</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农林水支出</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水利</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2130304</w:t>
            </w:r>
          </w:p>
        </w:tc>
        <w:tc>
          <w:tcPr>
            <w:tcW w:w="4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水利行业业务管理</w:t>
            </w:r>
          </w:p>
        </w:tc>
        <w:tc>
          <w:tcPr>
            <w:tcW w:w="124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127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357.01</w:t>
            </w: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4896" w:type="dxa"/>
            <w:tcBorders>
              <w:top w:val="nil"/>
              <w:left w:val="nil"/>
              <w:bottom w:val="single" w:color="000000" w:sz="4" w:space="0"/>
              <w:right w:val="single" w:color="000000" w:sz="4" w:space="0"/>
            </w:tcBorders>
            <w:vAlign w:val="center"/>
          </w:tcPr>
          <w:p>
            <w:pPr>
              <w:jc w:val="lef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27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96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7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0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1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87" w:type="dxa"/>
            <w:gridSpan w:val="11"/>
            <w:tcBorders>
              <w:top w:val="nil"/>
              <w:left w:val="nil"/>
              <w:bottom w:val="nil"/>
              <w:right w:val="nil"/>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注：本表反映部门本年度取得的各项收入情况。本表金额转换为万元时，因四舍五入可能存在尾差。</w:t>
            </w:r>
          </w:p>
        </w:tc>
      </w:tr>
    </w:tbl>
    <w:p>
      <w:pPr>
        <w:rPr>
          <w:vanish/>
        </w:rPr>
      </w:pPr>
    </w:p>
    <w:tbl>
      <w:tblPr>
        <w:tblStyle w:val="5"/>
        <w:tblpPr w:leftFromText="180" w:rightFromText="180" w:vertAnchor="text" w:horzAnchor="page" w:tblpX="1778" w:tblpY="35"/>
        <w:tblOverlap w:val="never"/>
        <w:tblW w:w="132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902"/>
        <w:gridCol w:w="1457"/>
        <w:gridCol w:w="1364"/>
        <w:gridCol w:w="1144"/>
        <w:gridCol w:w="1172"/>
        <w:gridCol w:w="1088"/>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287" w:type="dxa"/>
            <w:gridSpan w:val="10"/>
            <w:tcBorders>
              <w:top w:val="nil"/>
              <w:left w:val="nil"/>
              <w:bottom w:val="nil"/>
              <w:right w:val="nil"/>
            </w:tcBorders>
            <w:vAlign w:val="bottom"/>
          </w:tcPr>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vAlign w:val="bottom"/>
          </w:tcPr>
          <w:p>
            <w:pPr>
              <w:rPr>
                <w:rFonts w:hint="eastAsia" w:ascii="Arial" w:hAnsi="Arial" w:cs="Arial"/>
                <w:color w:val="000000"/>
                <w:sz w:val="20"/>
                <w:szCs w:val="20"/>
              </w:rPr>
            </w:pPr>
          </w:p>
        </w:tc>
        <w:tc>
          <w:tcPr>
            <w:tcW w:w="329" w:type="dxa"/>
            <w:tcBorders>
              <w:top w:val="nil"/>
              <w:left w:val="nil"/>
              <w:bottom w:val="nil"/>
              <w:right w:val="nil"/>
            </w:tcBorders>
            <w:vAlign w:val="bottom"/>
          </w:tcPr>
          <w:p>
            <w:pPr>
              <w:rPr>
                <w:rFonts w:ascii="Arial" w:hAnsi="Arial" w:cs="Arial"/>
                <w:color w:val="000000"/>
                <w:sz w:val="20"/>
                <w:szCs w:val="20"/>
              </w:rPr>
            </w:pPr>
          </w:p>
        </w:tc>
        <w:tc>
          <w:tcPr>
            <w:tcW w:w="329" w:type="dxa"/>
            <w:tcBorders>
              <w:top w:val="nil"/>
              <w:left w:val="nil"/>
              <w:bottom w:val="nil"/>
              <w:right w:val="nil"/>
            </w:tcBorders>
            <w:vAlign w:val="bottom"/>
          </w:tcPr>
          <w:p>
            <w:pPr>
              <w:rPr>
                <w:rFonts w:ascii="Arial" w:hAnsi="Arial" w:cs="Arial"/>
                <w:color w:val="000000"/>
                <w:sz w:val="20"/>
                <w:szCs w:val="20"/>
              </w:rPr>
            </w:pPr>
          </w:p>
        </w:tc>
        <w:tc>
          <w:tcPr>
            <w:tcW w:w="4902" w:type="dxa"/>
            <w:tcBorders>
              <w:top w:val="nil"/>
              <w:left w:val="nil"/>
              <w:bottom w:val="nil"/>
              <w:right w:val="nil"/>
            </w:tcBorders>
            <w:vAlign w:val="bottom"/>
          </w:tcPr>
          <w:p>
            <w:pPr>
              <w:rPr>
                <w:rFonts w:ascii="Arial" w:hAnsi="Arial" w:cs="Arial"/>
                <w:color w:val="000000"/>
                <w:sz w:val="20"/>
                <w:szCs w:val="20"/>
              </w:rPr>
            </w:pPr>
          </w:p>
        </w:tc>
        <w:tc>
          <w:tcPr>
            <w:tcW w:w="1457" w:type="dxa"/>
            <w:tcBorders>
              <w:top w:val="nil"/>
              <w:left w:val="nil"/>
              <w:bottom w:val="nil"/>
              <w:right w:val="nil"/>
            </w:tcBorders>
            <w:vAlign w:val="bottom"/>
          </w:tcPr>
          <w:p>
            <w:pPr>
              <w:rPr>
                <w:rFonts w:ascii="Arial" w:hAnsi="Arial" w:cs="Arial"/>
                <w:color w:val="000000"/>
                <w:sz w:val="20"/>
                <w:szCs w:val="20"/>
              </w:rPr>
            </w:pPr>
          </w:p>
        </w:tc>
        <w:tc>
          <w:tcPr>
            <w:tcW w:w="1364" w:type="dxa"/>
            <w:tcBorders>
              <w:top w:val="nil"/>
              <w:left w:val="nil"/>
              <w:bottom w:val="nil"/>
              <w:right w:val="nil"/>
            </w:tcBorders>
            <w:vAlign w:val="bottom"/>
          </w:tcPr>
          <w:p>
            <w:pPr>
              <w:rPr>
                <w:rFonts w:ascii="Arial" w:hAnsi="Arial" w:cs="Arial"/>
                <w:color w:val="000000"/>
                <w:sz w:val="20"/>
                <w:szCs w:val="20"/>
              </w:rPr>
            </w:pPr>
          </w:p>
        </w:tc>
        <w:tc>
          <w:tcPr>
            <w:tcW w:w="1144" w:type="dxa"/>
            <w:tcBorders>
              <w:top w:val="nil"/>
              <w:left w:val="nil"/>
              <w:bottom w:val="nil"/>
              <w:right w:val="nil"/>
            </w:tcBorders>
            <w:vAlign w:val="bottom"/>
          </w:tcPr>
          <w:p>
            <w:pPr>
              <w:rPr>
                <w:rFonts w:ascii="Arial" w:hAnsi="Arial" w:cs="Arial"/>
                <w:color w:val="000000"/>
                <w:sz w:val="20"/>
                <w:szCs w:val="20"/>
              </w:rPr>
            </w:pPr>
          </w:p>
        </w:tc>
        <w:tc>
          <w:tcPr>
            <w:tcW w:w="1172" w:type="dxa"/>
            <w:tcBorders>
              <w:top w:val="nil"/>
              <w:left w:val="nil"/>
              <w:bottom w:val="nil"/>
              <w:right w:val="nil"/>
            </w:tcBorders>
            <w:vAlign w:val="bottom"/>
          </w:tcPr>
          <w:p>
            <w:pPr>
              <w:rPr>
                <w:rFonts w:ascii="Arial" w:hAnsi="Arial" w:cs="Arial"/>
                <w:color w:val="000000"/>
                <w:sz w:val="20"/>
                <w:szCs w:val="20"/>
              </w:rPr>
            </w:pPr>
          </w:p>
        </w:tc>
        <w:tc>
          <w:tcPr>
            <w:tcW w:w="2261"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46" w:type="dxa"/>
            <w:gridSpan w:val="5"/>
            <w:tcBorders>
              <w:top w:val="nil"/>
              <w:left w:val="nil"/>
              <w:bottom w:val="nil"/>
              <w:right w:val="nil"/>
            </w:tcBorders>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rPr>
              <w:t>部门：许昌市污水处理费征收中心</w:t>
            </w:r>
          </w:p>
        </w:tc>
        <w:tc>
          <w:tcPr>
            <w:tcW w:w="1364" w:type="dxa"/>
            <w:tcBorders>
              <w:top w:val="nil"/>
              <w:left w:val="nil"/>
              <w:bottom w:val="nil"/>
              <w:right w:val="nil"/>
            </w:tcBorders>
            <w:vAlign w:val="bottom"/>
          </w:tcPr>
          <w:p>
            <w:pPr>
              <w:rPr>
                <w:rFonts w:ascii="Arial" w:hAnsi="Arial" w:cs="Arial"/>
                <w:color w:val="000000"/>
                <w:sz w:val="20"/>
                <w:szCs w:val="20"/>
              </w:rPr>
            </w:pPr>
          </w:p>
        </w:tc>
        <w:tc>
          <w:tcPr>
            <w:tcW w:w="1144" w:type="dxa"/>
            <w:tcBorders>
              <w:top w:val="nil"/>
              <w:left w:val="nil"/>
              <w:bottom w:val="nil"/>
              <w:right w:val="nil"/>
            </w:tcBorders>
            <w:vAlign w:val="bottom"/>
          </w:tcPr>
          <w:p>
            <w:pPr>
              <w:rPr>
                <w:rFonts w:ascii="Arial" w:hAnsi="Arial" w:cs="Arial"/>
                <w:color w:val="000000"/>
                <w:sz w:val="20"/>
                <w:szCs w:val="20"/>
              </w:rPr>
            </w:pPr>
          </w:p>
        </w:tc>
        <w:tc>
          <w:tcPr>
            <w:tcW w:w="1172" w:type="dxa"/>
            <w:tcBorders>
              <w:top w:val="nil"/>
              <w:left w:val="nil"/>
              <w:bottom w:val="nil"/>
              <w:right w:val="nil"/>
            </w:tcBorders>
            <w:vAlign w:val="bottom"/>
          </w:tcPr>
          <w:p>
            <w:pPr>
              <w:rPr>
                <w:rFonts w:ascii="Arial" w:hAnsi="Arial" w:cs="Arial"/>
                <w:color w:val="000000"/>
                <w:sz w:val="20"/>
                <w:szCs w:val="20"/>
              </w:rPr>
            </w:pPr>
          </w:p>
        </w:tc>
        <w:tc>
          <w:tcPr>
            <w:tcW w:w="2261"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145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本年支出合计</w:t>
            </w:r>
          </w:p>
        </w:tc>
        <w:tc>
          <w:tcPr>
            <w:tcW w:w="136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基本支出</w:t>
            </w:r>
          </w:p>
        </w:tc>
        <w:tc>
          <w:tcPr>
            <w:tcW w:w="114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项目支出</w:t>
            </w:r>
          </w:p>
        </w:tc>
        <w:tc>
          <w:tcPr>
            <w:tcW w:w="117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上缴上级支出</w:t>
            </w:r>
          </w:p>
        </w:tc>
        <w:tc>
          <w:tcPr>
            <w:tcW w:w="108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经营支出</w:t>
            </w:r>
          </w:p>
        </w:tc>
        <w:tc>
          <w:tcPr>
            <w:tcW w:w="117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490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45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3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7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7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4902"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45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3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7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7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4902"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45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3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7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7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145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36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1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17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08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17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433.07</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430.30</w:t>
            </w:r>
          </w:p>
        </w:tc>
        <w:tc>
          <w:tcPr>
            <w:tcW w:w="11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2.77</w:t>
            </w: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一般公共服务支出</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1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群众团体事务</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1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2012906</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工会事务</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1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社会保障和就业支出</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1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行政事业单位养老支出</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1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2080502</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事业单位离退休</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11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2080505</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26.66</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26.66</w:t>
            </w:r>
          </w:p>
        </w:tc>
        <w:tc>
          <w:tcPr>
            <w:tcW w:w="11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卫生健康支出</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1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行政事业单位医疗</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1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2101102</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事业单位医疗</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1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农林水支出</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11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水利</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11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2130304</w:t>
            </w:r>
          </w:p>
        </w:tc>
        <w:tc>
          <w:tcPr>
            <w:tcW w:w="490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水利行业业务管理</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3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11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4902" w:type="dxa"/>
            <w:tcBorders>
              <w:top w:val="nil"/>
              <w:left w:val="nil"/>
              <w:bottom w:val="single" w:color="000000" w:sz="4" w:space="0"/>
              <w:right w:val="single" w:color="000000" w:sz="4" w:space="0"/>
            </w:tcBorders>
            <w:vAlign w:val="center"/>
          </w:tcPr>
          <w:p>
            <w:pPr>
              <w:jc w:val="left"/>
              <w:rPr>
                <w:rFonts w:hint="eastAsia" w:ascii="宋体" w:hAnsi="宋体" w:cs="宋体"/>
                <w:color w:val="000000"/>
                <w:sz w:val="22"/>
              </w:rPr>
            </w:pPr>
          </w:p>
        </w:tc>
        <w:tc>
          <w:tcPr>
            <w:tcW w:w="145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36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7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87" w:type="dxa"/>
            <w:gridSpan w:val="10"/>
            <w:tcBorders>
              <w:top w:val="nil"/>
              <w:left w:val="nil"/>
              <w:bottom w:val="nil"/>
              <w:right w:val="nil"/>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5"/>
        <w:tblW w:w="1389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08"/>
        <w:gridCol w:w="568"/>
        <w:gridCol w:w="1023"/>
        <w:gridCol w:w="3984"/>
        <w:gridCol w:w="568"/>
        <w:gridCol w:w="927"/>
        <w:gridCol w:w="1226"/>
        <w:gridCol w:w="958"/>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90" w:type="dxa"/>
            <w:gridSpan w:val="9"/>
            <w:tcBorders>
              <w:top w:val="nil"/>
              <w:left w:val="nil"/>
              <w:bottom w:val="nil"/>
              <w:right w:val="nil"/>
            </w:tcBorders>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08" w:type="dxa"/>
            <w:tcBorders>
              <w:top w:val="nil"/>
              <w:left w:val="nil"/>
              <w:bottom w:val="nil"/>
              <w:right w:val="nil"/>
            </w:tcBorders>
            <w:vAlign w:val="bottom"/>
          </w:tcPr>
          <w:p>
            <w:pPr>
              <w:rPr>
                <w:rFonts w:hint="eastAsia" w:ascii="Arial" w:hAnsi="Arial" w:cs="Arial"/>
                <w:color w:val="000000"/>
                <w:sz w:val="20"/>
                <w:szCs w:val="20"/>
              </w:rPr>
            </w:pPr>
          </w:p>
        </w:tc>
        <w:tc>
          <w:tcPr>
            <w:tcW w:w="568" w:type="dxa"/>
            <w:tcBorders>
              <w:top w:val="nil"/>
              <w:left w:val="nil"/>
              <w:bottom w:val="nil"/>
              <w:right w:val="nil"/>
            </w:tcBorders>
            <w:vAlign w:val="bottom"/>
          </w:tcPr>
          <w:p>
            <w:pPr>
              <w:rPr>
                <w:rFonts w:ascii="Arial" w:hAnsi="Arial" w:cs="Arial"/>
                <w:color w:val="000000"/>
                <w:sz w:val="20"/>
                <w:szCs w:val="20"/>
              </w:rPr>
            </w:pPr>
          </w:p>
        </w:tc>
        <w:tc>
          <w:tcPr>
            <w:tcW w:w="1023" w:type="dxa"/>
            <w:tcBorders>
              <w:top w:val="nil"/>
              <w:left w:val="nil"/>
              <w:bottom w:val="nil"/>
              <w:right w:val="nil"/>
            </w:tcBorders>
            <w:vAlign w:val="bottom"/>
          </w:tcPr>
          <w:p>
            <w:pPr>
              <w:rPr>
                <w:rFonts w:ascii="Arial" w:hAnsi="Arial" w:cs="Arial"/>
                <w:color w:val="000000"/>
                <w:sz w:val="20"/>
                <w:szCs w:val="20"/>
              </w:rPr>
            </w:pPr>
          </w:p>
        </w:tc>
        <w:tc>
          <w:tcPr>
            <w:tcW w:w="3984" w:type="dxa"/>
            <w:tcBorders>
              <w:top w:val="nil"/>
              <w:left w:val="nil"/>
              <w:bottom w:val="nil"/>
              <w:right w:val="nil"/>
            </w:tcBorders>
            <w:vAlign w:val="bottom"/>
          </w:tcPr>
          <w:p>
            <w:pPr>
              <w:rPr>
                <w:rFonts w:ascii="Arial" w:hAnsi="Arial" w:cs="Arial"/>
                <w:color w:val="000000"/>
                <w:sz w:val="20"/>
                <w:szCs w:val="20"/>
              </w:rPr>
            </w:pPr>
          </w:p>
        </w:tc>
        <w:tc>
          <w:tcPr>
            <w:tcW w:w="568" w:type="dxa"/>
            <w:tcBorders>
              <w:top w:val="nil"/>
              <w:left w:val="nil"/>
              <w:bottom w:val="nil"/>
              <w:right w:val="nil"/>
            </w:tcBorders>
            <w:vAlign w:val="bottom"/>
          </w:tcPr>
          <w:p>
            <w:pPr>
              <w:rPr>
                <w:rFonts w:ascii="Arial" w:hAnsi="Arial" w:cs="Arial"/>
                <w:color w:val="000000"/>
                <w:sz w:val="20"/>
                <w:szCs w:val="20"/>
              </w:rPr>
            </w:pPr>
          </w:p>
        </w:tc>
        <w:tc>
          <w:tcPr>
            <w:tcW w:w="927" w:type="dxa"/>
            <w:tcBorders>
              <w:top w:val="nil"/>
              <w:left w:val="nil"/>
              <w:bottom w:val="nil"/>
              <w:right w:val="nil"/>
            </w:tcBorders>
            <w:vAlign w:val="bottom"/>
          </w:tcPr>
          <w:p>
            <w:pPr>
              <w:rPr>
                <w:rFonts w:ascii="Arial" w:hAnsi="Arial" w:cs="Arial"/>
                <w:color w:val="000000"/>
                <w:sz w:val="20"/>
                <w:szCs w:val="20"/>
              </w:rPr>
            </w:pPr>
          </w:p>
        </w:tc>
        <w:tc>
          <w:tcPr>
            <w:tcW w:w="1226" w:type="dxa"/>
            <w:tcBorders>
              <w:top w:val="nil"/>
              <w:left w:val="nil"/>
              <w:bottom w:val="nil"/>
              <w:right w:val="nil"/>
            </w:tcBorders>
            <w:vAlign w:val="bottom"/>
          </w:tcPr>
          <w:p>
            <w:pPr>
              <w:rPr>
                <w:rFonts w:ascii="Arial" w:hAnsi="Arial" w:cs="Arial"/>
                <w:color w:val="000000"/>
                <w:sz w:val="20"/>
                <w:szCs w:val="20"/>
              </w:rPr>
            </w:pPr>
          </w:p>
        </w:tc>
        <w:tc>
          <w:tcPr>
            <w:tcW w:w="2086"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99" w:type="dxa"/>
            <w:gridSpan w:val="3"/>
            <w:tcBorders>
              <w:top w:val="nil"/>
              <w:left w:val="nil"/>
              <w:bottom w:val="nil"/>
              <w:right w:val="nil"/>
            </w:tcBorders>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rPr>
              <w:t>部门：许昌市污水处理费征收中心</w:t>
            </w:r>
          </w:p>
        </w:tc>
        <w:tc>
          <w:tcPr>
            <w:tcW w:w="3984" w:type="dxa"/>
            <w:tcBorders>
              <w:top w:val="nil"/>
              <w:left w:val="nil"/>
              <w:bottom w:val="nil"/>
              <w:right w:val="nil"/>
            </w:tcBorders>
            <w:vAlign w:val="bottom"/>
          </w:tcPr>
          <w:p>
            <w:pPr>
              <w:rPr>
                <w:rFonts w:ascii="Arial" w:hAnsi="Arial" w:cs="Arial"/>
                <w:color w:val="000000"/>
                <w:sz w:val="20"/>
                <w:szCs w:val="20"/>
              </w:rPr>
            </w:pPr>
          </w:p>
        </w:tc>
        <w:tc>
          <w:tcPr>
            <w:tcW w:w="568" w:type="dxa"/>
            <w:tcBorders>
              <w:top w:val="nil"/>
              <w:left w:val="nil"/>
              <w:bottom w:val="nil"/>
              <w:right w:val="nil"/>
            </w:tcBorders>
            <w:vAlign w:val="bottom"/>
          </w:tcPr>
          <w:p>
            <w:pPr>
              <w:rPr>
                <w:rFonts w:ascii="Arial" w:hAnsi="Arial" w:cs="Arial"/>
                <w:color w:val="000000"/>
                <w:sz w:val="20"/>
                <w:szCs w:val="20"/>
              </w:rPr>
            </w:pPr>
          </w:p>
        </w:tc>
        <w:tc>
          <w:tcPr>
            <w:tcW w:w="927" w:type="dxa"/>
            <w:tcBorders>
              <w:top w:val="nil"/>
              <w:left w:val="nil"/>
              <w:bottom w:val="nil"/>
              <w:right w:val="nil"/>
            </w:tcBorders>
            <w:vAlign w:val="bottom"/>
          </w:tcPr>
          <w:p>
            <w:pPr>
              <w:rPr>
                <w:rFonts w:ascii="Arial" w:hAnsi="Arial" w:cs="Arial"/>
                <w:color w:val="000000"/>
                <w:sz w:val="20"/>
                <w:szCs w:val="20"/>
              </w:rPr>
            </w:pPr>
          </w:p>
        </w:tc>
        <w:tc>
          <w:tcPr>
            <w:tcW w:w="1226" w:type="dxa"/>
            <w:tcBorders>
              <w:top w:val="nil"/>
              <w:left w:val="nil"/>
              <w:bottom w:val="nil"/>
              <w:right w:val="nil"/>
            </w:tcBorders>
            <w:vAlign w:val="bottom"/>
          </w:tcPr>
          <w:p>
            <w:pPr>
              <w:rPr>
                <w:rFonts w:ascii="Arial" w:hAnsi="Arial" w:cs="Arial"/>
                <w:color w:val="000000"/>
                <w:sz w:val="20"/>
                <w:szCs w:val="20"/>
              </w:rPr>
            </w:pPr>
          </w:p>
        </w:tc>
        <w:tc>
          <w:tcPr>
            <w:tcW w:w="2086"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收     入</w:t>
            </w:r>
          </w:p>
        </w:tc>
        <w:tc>
          <w:tcPr>
            <w:tcW w:w="8791"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08"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项目</w:t>
            </w:r>
          </w:p>
        </w:tc>
        <w:tc>
          <w:tcPr>
            <w:tcW w:w="56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行次</w:t>
            </w:r>
          </w:p>
        </w:tc>
        <w:tc>
          <w:tcPr>
            <w:tcW w:w="102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w:t>
            </w:r>
          </w:p>
        </w:tc>
        <w:tc>
          <w:tcPr>
            <w:tcW w:w="398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项目</w:t>
            </w:r>
          </w:p>
        </w:tc>
        <w:tc>
          <w:tcPr>
            <w:tcW w:w="56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行次</w:t>
            </w:r>
          </w:p>
        </w:tc>
        <w:tc>
          <w:tcPr>
            <w:tcW w:w="92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122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一般公共预算财政拨款</w:t>
            </w:r>
          </w:p>
        </w:tc>
        <w:tc>
          <w:tcPr>
            <w:tcW w:w="95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政府性基金预算财政拨款</w:t>
            </w:r>
          </w:p>
        </w:tc>
        <w:tc>
          <w:tcPr>
            <w:tcW w:w="112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50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568"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1023"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3984"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568"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927"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1226"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958"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栏次</w:t>
            </w:r>
          </w:p>
        </w:tc>
        <w:tc>
          <w:tcPr>
            <w:tcW w:w="568" w:type="dxa"/>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102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39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栏次</w:t>
            </w:r>
          </w:p>
        </w:tc>
        <w:tc>
          <w:tcPr>
            <w:tcW w:w="568" w:type="dxa"/>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92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2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9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一、一般公共预算财政拨款</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10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397.53</w:t>
            </w: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一、一般公共服务支出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9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2.12</w:t>
            </w:r>
          </w:p>
        </w:tc>
        <w:tc>
          <w:tcPr>
            <w:tcW w:w="12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2.12</w:t>
            </w: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二、政府性基金预算财政拨款</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二、外交支出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三、国有资本经营财政拨款</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三、国防支出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四、公共安全支出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五、教育支出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六、科学技术支出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七、文化旅游体育与传媒支出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八、社会保障和就业支出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9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29.18</w:t>
            </w:r>
          </w:p>
        </w:tc>
        <w:tc>
          <w:tcPr>
            <w:tcW w:w="12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29.18</w:t>
            </w: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九、卫生健康支出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41</w:t>
            </w:r>
          </w:p>
        </w:tc>
        <w:tc>
          <w:tcPr>
            <w:tcW w:w="9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12.23</w:t>
            </w:r>
          </w:p>
        </w:tc>
        <w:tc>
          <w:tcPr>
            <w:tcW w:w="12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12.23</w:t>
            </w: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十、节能环保支出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十一、城乡社区支出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43</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十二、农林水支出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44</w:t>
            </w:r>
          </w:p>
        </w:tc>
        <w:tc>
          <w:tcPr>
            <w:tcW w:w="9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389.54</w:t>
            </w:r>
          </w:p>
        </w:tc>
        <w:tc>
          <w:tcPr>
            <w:tcW w:w="12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389.54</w:t>
            </w: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十三、交通运输支出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十四、资源勘探工业信息等支出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46</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十五、商业服务业等支出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十六、金融支出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十七、援助其他地区支出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49</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十八、自然资源海洋气象等支出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十九、住房保障支出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二十、粮油物资储备支出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二十一、国有资本经营预算支出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53</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二十二、灾害防治及应急管理支出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54</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二十三、其他支出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55</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二十四、债务还本支出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56</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二十五、债务付息支出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57</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二十六、抗疫特别国债安排的支出</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58</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本年收入合计</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0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397.53</w:t>
            </w:r>
          </w:p>
        </w:tc>
        <w:tc>
          <w:tcPr>
            <w:tcW w:w="39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本年支出合计</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59</w:t>
            </w:r>
          </w:p>
        </w:tc>
        <w:tc>
          <w:tcPr>
            <w:tcW w:w="9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12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年初财政拨款结转和结余</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0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35.54</w:t>
            </w:r>
          </w:p>
        </w:tc>
        <w:tc>
          <w:tcPr>
            <w:tcW w:w="39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年末财政拨款结转和结余</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  一般公共预算财政拨款</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0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35.54</w:t>
            </w:r>
          </w:p>
        </w:tc>
        <w:tc>
          <w:tcPr>
            <w:tcW w:w="3984" w:type="dxa"/>
            <w:tcBorders>
              <w:top w:val="nil"/>
              <w:left w:val="nil"/>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61</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  政府性基金预算财政拨款</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62</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  国有资本经营预算财政拨款</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02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3984" w:type="dxa"/>
            <w:tcBorders>
              <w:top w:val="nil"/>
              <w:left w:val="nil"/>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w:t>
            </w:r>
          </w:p>
        </w:tc>
        <w:tc>
          <w:tcPr>
            <w:tcW w:w="92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226"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50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总计</w:t>
            </w:r>
          </w:p>
        </w:tc>
        <w:tc>
          <w:tcPr>
            <w:tcW w:w="568"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0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39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总计</w:t>
            </w:r>
          </w:p>
        </w:tc>
        <w:tc>
          <w:tcPr>
            <w:tcW w:w="56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64</w:t>
            </w:r>
          </w:p>
        </w:tc>
        <w:tc>
          <w:tcPr>
            <w:tcW w:w="9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12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433.07</w:t>
            </w:r>
          </w:p>
        </w:tc>
        <w:tc>
          <w:tcPr>
            <w:tcW w:w="95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890" w:type="dxa"/>
            <w:gridSpan w:val="9"/>
            <w:tcBorders>
              <w:top w:val="nil"/>
              <w:left w:val="nil"/>
              <w:bottom w:val="nil"/>
              <w:right w:val="nil"/>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2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08"/>
        <w:gridCol w:w="236"/>
        <w:gridCol w:w="236"/>
        <w:gridCol w:w="4356"/>
        <w:gridCol w:w="1590"/>
        <w:gridCol w:w="1647"/>
        <w:gridCol w:w="2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276" w:type="dxa"/>
            <w:gridSpan w:val="7"/>
            <w:tcBorders>
              <w:top w:val="nil"/>
              <w:left w:val="nil"/>
              <w:bottom w:val="nil"/>
              <w:right w:val="nil"/>
            </w:tcBorders>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08" w:type="dxa"/>
            <w:tcBorders>
              <w:top w:val="nil"/>
              <w:left w:val="nil"/>
              <w:bottom w:val="nil"/>
              <w:right w:val="nil"/>
            </w:tcBorders>
            <w:vAlign w:val="bottom"/>
          </w:tcPr>
          <w:p>
            <w:pPr>
              <w:rPr>
                <w:rFonts w:hint="eastAsia" w:ascii="Arial" w:hAnsi="Arial" w:cs="Arial"/>
                <w:color w:val="000000"/>
                <w:sz w:val="20"/>
                <w:szCs w:val="20"/>
              </w:rPr>
            </w:pPr>
          </w:p>
        </w:tc>
        <w:tc>
          <w:tcPr>
            <w:tcW w:w="236" w:type="dxa"/>
            <w:tcBorders>
              <w:top w:val="nil"/>
              <w:left w:val="nil"/>
              <w:bottom w:val="nil"/>
              <w:right w:val="nil"/>
            </w:tcBorders>
            <w:vAlign w:val="bottom"/>
          </w:tcPr>
          <w:p>
            <w:pPr>
              <w:rPr>
                <w:rFonts w:ascii="Arial" w:hAnsi="Arial" w:cs="Arial"/>
                <w:color w:val="000000"/>
                <w:sz w:val="20"/>
                <w:szCs w:val="20"/>
              </w:rPr>
            </w:pPr>
          </w:p>
        </w:tc>
        <w:tc>
          <w:tcPr>
            <w:tcW w:w="236" w:type="dxa"/>
            <w:tcBorders>
              <w:top w:val="nil"/>
              <w:left w:val="nil"/>
              <w:bottom w:val="nil"/>
              <w:right w:val="nil"/>
            </w:tcBorders>
            <w:vAlign w:val="bottom"/>
          </w:tcPr>
          <w:p>
            <w:pPr>
              <w:rPr>
                <w:rFonts w:ascii="Arial" w:hAnsi="Arial" w:cs="Arial"/>
                <w:color w:val="000000"/>
                <w:sz w:val="20"/>
                <w:szCs w:val="20"/>
              </w:rPr>
            </w:pPr>
          </w:p>
        </w:tc>
        <w:tc>
          <w:tcPr>
            <w:tcW w:w="4356" w:type="dxa"/>
            <w:tcBorders>
              <w:top w:val="nil"/>
              <w:left w:val="nil"/>
              <w:bottom w:val="nil"/>
              <w:right w:val="nil"/>
            </w:tcBorders>
            <w:vAlign w:val="bottom"/>
          </w:tcPr>
          <w:p>
            <w:pPr>
              <w:rPr>
                <w:rFonts w:ascii="Arial" w:hAnsi="Arial" w:cs="Arial"/>
                <w:color w:val="000000"/>
                <w:sz w:val="20"/>
                <w:szCs w:val="20"/>
              </w:rPr>
            </w:pPr>
          </w:p>
        </w:tc>
        <w:tc>
          <w:tcPr>
            <w:tcW w:w="1590" w:type="dxa"/>
            <w:tcBorders>
              <w:top w:val="nil"/>
              <w:left w:val="nil"/>
              <w:bottom w:val="nil"/>
              <w:right w:val="nil"/>
            </w:tcBorders>
            <w:vAlign w:val="bottom"/>
          </w:tcPr>
          <w:p>
            <w:pPr>
              <w:rPr>
                <w:rFonts w:ascii="Arial" w:hAnsi="Arial" w:cs="Arial"/>
                <w:color w:val="000000"/>
                <w:sz w:val="20"/>
                <w:szCs w:val="20"/>
              </w:rPr>
            </w:pPr>
          </w:p>
        </w:tc>
        <w:tc>
          <w:tcPr>
            <w:tcW w:w="1647" w:type="dxa"/>
            <w:tcBorders>
              <w:top w:val="nil"/>
              <w:left w:val="nil"/>
              <w:bottom w:val="nil"/>
              <w:right w:val="nil"/>
            </w:tcBorders>
            <w:vAlign w:val="bottom"/>
          </w:tcPr>
          <w:p>
            <w:pPr>
              <w:rPr>
                <w:rFonts w:ascii="Arial" w:hAnsi="Arial" w:cs="Arial"/>
                <w:color w:val="000000"/>
                <w:sz w:val="20"/>
                <w:szCs w:val="20"/>
              </w:rPr>
            </w:pPr>
          </w:p>
        </w:tc>
        <w:tc>
          <w:tcPr>
            <w:tcW w:w="2003" w:type="dxa"/>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08" w:type="dxa"/>
            <w:tcBorders>
              <w:top w:val="nil"/>
              <w:left w:val="nil"/>
              <w:bottom w:val="nil"/>
              <w:right w:val="nil"/>
            </w:tcBorders>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rPr>
              <w:t>部门：许昌市污水处理费征收中心</w:t>
            </w:r>
          </w:p>
        </w:tc>
        <w:tc>
          <w:tcPr>
            <w:tcW w:w="236" w:type="dxa"/>
            <w:tcBorders>
              <w:top w:val="nil"/>
              <w:left w:val="nil"/>
              <w:bottom w:val="nil"/>
              <w:right w:val="nil"/>
            </w:tcBorders>
            <w:vAlign w:val="bottom"/>
          </w:tcPr>
          <w:p>
            <w:pPr>
              <w:rPr>
                <w:rFonts w:ascii="Arial" w:hAnsi="Arial" w:cs="Arial"/>
                <w:color w:val="000000"/>
                <w:sz w:val="20"/>
                <w:szCs w:val="20"/>
              </w:rPr>
            </w:pPr>
          </w:p>
        </w:tc>
        <w:tc>
          <w:tcPr>
            <w:tcW w:w="236" w:type="dxa"/>
            <w:tcBorders>
              <w:top w:val="nil"/>
              <w:left w:val="nil"/>
              <w:bottom w:val="nil"/>
              <w:right w:val="nil"/>
            </w:tcBorders>
            <w:vAlign w:val="bottom"/>
          </w:tcPr>
          <w:p>
            <w:pPr>
              <w:rPr>
                <w:rFonts w:ascii="Arial" w:hAnsi="Arial" w:cs="Arial"/>
                <w:color w:val="000000"/>
                <w:sz w:val="20"/>
                <w:szCs w:val="20"/>
              </w:rPr>
            </w:pPr>
          </w:p>
        </w:tc>
        <w:tc>
          <w:tcPr>
            <w:tcW w:w="4356" w:type="dxa"/>
            <w:tcBorders>
              <w:top w:val="nil"/>
              <w:left w:val="nil"/>
              <w:bottom w:val="nil"/>
              <w:right w:val="nil"/>
            </w:tcBorders>
            <w:vAlign w:val="bottom"/>
          </w:tcPr>
          <w:p>
            <w:pPr>
              <w:rPr>
                <w:rFonts w:ascii="Arial" w:hAnsi="Arial" w:cs="Arial"/>
                <w:color w:val="000000"/>
                <w:sz w:val="20"/>
                <w:szCs w:val="20"/>
              </w:rPr>
            </w:pPr>
          </w:p>
        </w:tc>
        <w:tc>
          <w:tcPr>
            <w:tcW w:w="1590" w:type="dxa"/>
            <w:tcBorders>
              <w:top w:val="nil"/>
              <w:left w:val="nil"/>
              <w:bottom w:val="nil"/>
              <w:right w:val="nil"/>
            </w:tcBorders>
            <w:vAlign w:val="bottom"/>
          </w:tcPr>
          <w:p>
            <w:pPr>
              <w:rPr>
                <w:rFonts w:ascii="Arial" w:hAnsi="Arial" w:cs="Arial"/>
                <w:color w:val="000000"/>
                <w:sz w:val="20"/>
                <w:szCs w:val="20"/>
              </w:rPr>
            </w:pPr>
          </w:p>
        </w:tc>
        <w:tc>
          <w:tcPr>
            <w:tcW w:w="1647" w:type="dxa"/>
            <w:tcBorders>
              <w:top w:val="nil"/>
              <w:left w:val="nil"/>
              <w:bottom w:val="nil"/>
              <w:right w:val="nil"/>
            </w:tcBorders>
            <w:vAlign w:val="bottom"/>
          </w:tcPr>
          <w:p>
            <w:pPr>
              <w:rPr>
                <w:rFonts w:ascii="Arial" w:hAnsi="Arial" w:cs="Arial"/>
                <w:color w:val="000000"/>
                <w:sz w:val="20"/>
                <w:szCs w:val="20"/>
              </w:rPr>
            </w:pPr>
          </w:p>
        </w:tc>
        <w:tc>
          <w:tcPr>
            <w:tcW w:w="2003" w:type="dxa"/>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3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524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8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43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59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164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基本支出</w:t>
            </w:r>
          </w:p>
        </w:tc>
        <w:tc>
          <w:tcPr>
            <w:tcW w:w="200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8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4356"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590"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647"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2003"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8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4356"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590"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647"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2003"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3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15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64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200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3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433.07</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430.30</w:t>
            </w:r>
          </w:p>
        </w:tc>
        <w:tc>
          <w:tcPr>
            <w:tcW w:w="200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一般公共服务支出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200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群众团体事务</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200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2012906</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工会事务</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200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社会保障和就业支出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200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行政事业单位养老支出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29.18</w:t>
            </w:r>
          </w:p>
        </w:tc>
        <w:tc>
          <w:tcPr>
            <w:tcW w:w="200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2080502</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事业单位离退休</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200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2080505</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26.66</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26.66</w:t>
            </w:r>
          </w:p>
        </w:tc>
        <w:tc>
          <w:tcPr>
            <w:tcW w:w="200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卫生健康支出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200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行政事业单位医疗</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200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2101102</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事业单位医疗</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200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农林水支出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200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水利</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200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2130304</w:t>
            </w:r>
          </w:p>
        </w:tc>
        <w:tc>
          <w:tcPr>
            <w:tcW w:w="43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水利行业业务管理</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389.54</w:t>
            </w:r>
          </w:p>
        </w:tc>
        <w:tc>
          <w:tcPr>
            <w:tcW w:w="1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386.77</w:t>
            </w:r>
          </w:p>
        </w:tc>
        <w:tc>
          <w:tcPr>
            <w:tcW w:w="200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4356" w:type="dxa"/>
            <w:tcBorders>
              <w:top w:val="nil"/>
              <w:left w:val="nil"/>
              <w:bottom w:val="single" w:color="000000" w:sz="4" w:space="0"/>
              <w:right w:val="single" w:color="000000" w:sz="4" w:space="0"/>
            </w:tcBorders>
            <w:vAlign w:val="center"/>
          </w:tcPr>
          <w:p>
            <w:pPr>
              <w:jc w:val="left"/>
              <w:rPr>
                <w:rFonts w:hint="eastAsia" w:ascii="宋体" w:hAnsi="宋体" w:cs="宋体"/>
                <w:color w:val="000000"/>
                <w:sz w:val="22"/>
              </w:rPr>
            </w:pPr>
          </w:p>
        </w:tc>
        <w:tc>
          <w:tcPr>
            <w:tcW w:w="159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647"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200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76" w:type="dxa"/>
            <w:gridSpan w:val="7"/>
            <w:tcBorders>
              <w:top w:val="nil"/>
              <w:left w:val="nil"/>
              <w:bottom w:val="nil"/>
              <w:right w:val="nil"/>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8"/>
        <w:gridCol w:w="3098"/>
        <w:gridCol w:w="952"/>
        <w:gridCol w:w="938"/>
        <w:gridCol w:w="1949"/>
        <w:gridCol w:w="788"/>
        <w:gridCol w:w="844"/>
        <w:gridCol w:w="3354"/>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38" w:type="dxa"/>
            <w:tcBorders>
              <w:top w:val="nil"/>
              <w:left w:val="nil"/>
              <w:bottom w:val="nil"/>
              <w:right w:val="nil"/>
            </w:tcBorders>
            <w:vAlign w:val="bottom"/>
          </w:tcPr>
          <w:p>
            <w:pPr>
              <w:rPr>
                <w:rFonts w:hint="eastAsia" w:ascii="Arial" w:hAnsi="Arial" w:cs="Arial"/>
                <w:color w:val="000000"/>
                <w:sz w:val="20"/>
                <w:szCs w:val="20"/>
              </w:rPr>
            </w:pPr>
          </w:p>
        </w:tc>
        <w:tc>
          <w:tcPr>
            <w:tcW w:w="3098" w:type="dxa"/>
            <w:tcBorders>
              <w:top w:val="nil"/>
              <w:left w:val="nil"/>
              <w:bottom w:val="nil"/>
              <w:right w:val="nil"/>
            </w:tcBorders>
            <w:vAlign w:val="bottom"/>
          </w:tcPr>
          <w:p>
            <w:pPr>
              <w:rPr>
                <w:rFonts w:ascii="Arial" w:hAnsi="Arial" w:cs="Arial"/>
                <w:color w:val="000000"/>
                <w:sz w:val="20"/>
                <w:szCs w:val="20"/>
              </w:rPr>
            </w:pPr>
          </w:p>
        </w:tc>
        <w:tc>
          <w:tcPr>
            <w:tcW w:w="952" w:type="dxa"/>
            <w:tcBorders>
              <w:top w:val="nil"/>
              <w:left w:val="nil"/>
              <w:bottom w:val="nil"/>
              <w:right w:val="nil"/>
            </w:tcBorders>
            <w:vAlign w:val="bottom"/>
          </w:tcPr>
          <w:p>
            <w:pPr>
              <w:rPr>
                <w:rFonts w:ascii="Arial" w:hAnsi="Arial" w:cs="Arial"/>
                <w:color w:val="000000"/>
                <w:sz w:val="20"/>
                <w:szCs w:val="20"/>
              </w:rPr>
            </w:pPr>
          </w:p>
        </w:tc>
        <w:tc>
          <w:tcPr>
            <w:tcW w:w="938" w:type="dxa"/>
            <w:tcBorders>
              <w:top w:val="nil"/>
              <w:left w:val="nil"/>
              <w:bottom w:val="nil"/>
              <w:right w:val="nil"/>
            </w:tcBorders>
            <w:vAlign w:val="bottom"/>
          </w:tcPr>
          <w:p>
            <w:pPr>
              <w:rPr>
                <w:rFonts w:ascii="Arial" w:hAnsi="Arial" w:cs="Arial"/>
                <w:color w:val="000000"/>
                <w:sz w:val="20"/>
                <w:szCs w:val="20"/>
              </w:rPr>
            </w:pPr>
          </w:p>
        </w:tc>
        <w:tc>
          <w:tcPr>
            <w:tcW w:w="1949" w:type="dxa"/>
            <w:tcBorders>
              <w:top w:val="nil"/>
              <w:left w:val="nil"/>
              <w:bottom w:val="nil"/>
              <w:right w:val="nil"/>
            </w:tcBorders>
            <w:vAlign w:val="bottom"/>
          </w:tcPr>
          <w:p>
            <w:pPr>
              <w:rPr>
                <w:rFonts w:ascii="Arial" w:hAnsi="Arial" w:cs="Arial"/>
                <w:color w:val="000000"/>
                <w:sz w:val="20"/>
                <w:szCs w:val="20"/>
              </w:rPr>
            </w:pPr>
          </w:p>
        </w:tc>
        <w:tc>
          <w:tcPr>
            <w:tcW w:w="788" w:type="dxa"/>
            <w:tcBorders>
              <w:top w:val="nil"/>
              <w:left w:val="nil"/>
              <w:bottom w:val="nil"/>
              <w:right w:val="nil"/>
            </w:tcBorders>
            <w:vAlign w:val="bottom"/>
          </w:tcPr>
          <w:p>
            <w:pPr>
              <w:rPr>
                <w:rFonts w:ascii="Arial" w:hAnsi="Arial" w:cs="Arial"/>
                <w:color w:val="000000"/>
                <w:sz w:val="20"/>
                <w:szCs w:val="20"/>
              </w:rPr>
            </w:pPr>
          </w:p>
        </w:tc>
        <w:tc>
          <w:tcPr>
            <w:tcW w:w="844" w:type="dxa"/>
            <w:tcBorders>
              <w:top w:val="nil"/>
              <w:left w:val="nil"/>
              <w:bottom w:val="nil"/>
              <w:right w:val="nil"/>
            </w:tcBorders>
            <w:vAlign w:val="bottom"/>
          </w:tcPr>
          <w:p>
            <w:pPr>
              <w:rPr>
                <w:rFonts w:ascii="Arial" w:hAnsi="Arial" w:cs="Arial"/>
                <w:color w:val="000000"/>
                <w:sz w:val="20"/>
                <w:szCs w:val="20"/>
              </w:rPr>
            </w:pPr>
          </w:p>
        </w:tc>
        <w:tc>
          <w:tcPr>
            <w:tcW w:w="4574"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926" w:type="dxa"/>
            <w:gridSpan w:val="4"/>
            <w:tcBorders>
              <w:top w:val="nil"/>
              <w:left w:val="nil"/>
              <w:bottom w:val="nil"/>
              <w:right w:val="nil"/>
            </w:tcBorders>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rPr>
              <w:t>部门：许昌市污水处理费征收中心</w:t>
            </w:r>
          </w:p>
        </w:tc>
        <w:tc>
          <w:tcPr>
            <w:tcW w:w="1949" w:type="dxa"/>
            <w:tcBorders>
              <w:top w:val="nil"/>
              <w:left w:val="nil"/>
              <w:bottom w:val="nil"/>
              <w:right w:val="nil"/>
            </w:tcBorders>
            <w:vAlign w:val="bottom"/>
          </w:tcPr>
          <w:p>
            <w:pPr>
              <w:rPr>
                <w:rFonts w:ascii="Arial" w:hAnsi="Arial" w:cs="Arial"/>
                <w:color w:val="000000"/>
                <w:sz w:val="20"/>
                <w:szCs w:val="20"/>
              </w:rPr>
            </w:pPr>
          </w:p>
        </w:tc>
        <w:tc>
          <w:tcPr>
            <w:tcW w:w="788" w:type="dxa"/>
            <w:tcBorders>
              <w:top w:val="nil"/>
              <w:left w:val="nil"/>
              <w:bottom w:val="nil"/>
              <w:right w:val="nil"/>
            </w:tcBorders>
            <w:vAlign w:val="bottom"/>
          </w:tcPr>
          <w:p>
            <w:pPr>
              <w:rPr>
                <w:rFonts w:ascii="Arial" w:hAnsi="Arial" w:cs="Arial"/>
                <w:color w:val="000000"/>
                <w:sz w:val="20"/>
                <w:szCs w:val="20"/>
              </w:rPr>
            </w:pPr>
          </w:p>
        </w:tc>
        <w:tc>
          <w:tcPr>
            <w:tcW w:w="844" w:type="dxa"/>
            <w:tcBorders>
              <w:top w:val="nil"/>
              <w:left w:val="nil"/>
              <w:bottom w:val="nil"/>
              <w:right w:val="nil"/>
            </w:tcBorders>
            <w:vAlign w:val="bottom"/>
          </w:tcPr>
          <w:p>
            <w:pPr>
              <w:rPr>
                <w:rFonts w:ascii="Arial" w:hAnsi="Arial" w:cs="Arial"/>
                <w:color w:val="000000"/>
                <w:sz w:val="20"/>
                <w:szCs w:val="20"/>
              </w:rPr>
            </w:pPr>
          </w:p>
        </w:tc>
        <w:tc>
          <w:tcPr>
            <w:tcW w:w="4574"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人员经费</w:t>
            </w:r>
          </w:p>
        </w:tc>
        <w:tc>
          <w:tcPr>
            <w:tcW w:w="9093"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科目编码</w:t>
            </w:r>
          </w:p>
        </w:tc>
        <w:tc>
          <w:tcPr>
            <w:tcW w:w="309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95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c>
          <w:tcPr>
            <w:tcW w:w="93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科目编码</w:t>
            </w:r>
          </w:p>
        </w:tc>
        <w:tc>
          <w:tcPr>
            <w:tcW w:w="194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78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c>
          <w:tcPr>
            <w:tcW w:w="84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科目编码</w:t>
            </w:r>
          </w:p>
        </w:tc>
        <w:tc>
          <w:tcPr>
            <w:tcW w:w="335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2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3098"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952"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938"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949"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788"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844"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3354"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220"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工资福利支出</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403.53</w:t>
            </w: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商品和服务支出</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24.25</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307</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债务利息及费用支出</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30101</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基本工资</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107.18</w:t>
            </w: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30201</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办公费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6.90</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30701</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国内债务付息</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30102</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津贴补贴</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17.75</w:t>
            </w: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30202</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印刷费</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30702</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国外债务付息</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30103</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奖金</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153.14</w:t>
            </w: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30203</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咨询费</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资本性支出</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30106</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伙食补助费</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30204</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手续费</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31001</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房屋建筑物购建</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30107</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绩效工资</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61.17</w:t>
            </w: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30205</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水费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0.09</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31002</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办公设备购置</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30108</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26.66</w:t>
            </w: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30206</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电费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1.15</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31003</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专用设备购置</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30109</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职业年金缴费</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30207</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邮电费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0.77</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31005</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基础设施建设</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30110</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职工基本医疗保险缴费</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12.23</w:t>
            </w: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30208</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取暖费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0.75</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31006</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大型修缮</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30111</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公务员医疗补助缴费</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30209</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物业管理费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1.55</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31007</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信息网络及软件购置更新</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30112</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其他社会保障缴费</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1.86</w:t>
            </w: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30211</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差旅费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0.20</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31008</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物资储备</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30113</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住房公积金</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23.53</w:t>
            </w: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30212</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因公出国（境）费用</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31009</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土地补偿</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30114</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医疗费</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30213</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维修（护）费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0.68</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31010</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安置补助</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30199</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其他工资福利支出</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30214</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租赁费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0.18</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31011</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地上附着物和青苗补偿</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对个人和家庭的补助</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30215</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会议费</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31012</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拆迁补偿</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30301</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离休费</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30216</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培训费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0.58</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31013</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公务用车购置</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30302</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退休费</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2.52</w:t>
            </w: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30217</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公务接待费</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31019</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其他交通工具购置</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30303</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退职（役）费</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30218</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专用材料费</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31021</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文物和陈列品购置</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30304</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抚恤金</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30224</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被装购置费</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31022</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无形资产购置</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30305</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生活补助</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30225</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专用燃料费</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31099</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其他资本性支出</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30306</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救济费</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30226</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劳务费</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399</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其他支出</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30307</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医疗费补助</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30227</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委托业务费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1.30</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39906</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赠与</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30308</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助学金</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30228</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工会经费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2.12</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39907</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国家赔偿费用支出</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30309</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奖励金</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30229</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福利费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5.10</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39908</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30310</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个人农业生产补贴</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30231</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公务用车运行维护费</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1.81</w:t>
            </w:r>
          </w:p>
        </w:tc>
        <w:tc>
          <w:tcPr>
            <w:tcW w:w="84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39999</w:t>
            </w:r>
          </w:p>
        </w:tc>
        <w:tc>
          <w:tcPr>
            <w:tcW w:w="3354"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其他支出</w:t>
            </w: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30311</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代缴社会保险费</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30239</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其他交通费用</w:t>
            </w:r>
          </w:p>
        </w:tc>
        <w:tc>
          <w:tcPr>
            <w:tcW w:w="788"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1.05</w:t>
            </w:r>
          </w:p>
        </w:tc>
        <w:tc>
          <w:tcPr>
            <w:tcW w:w="844" w:type="dxa"/>
            <w:tcBorders>
              <w:top w:val="nil"/>
              <w:left w:val="nil"/>
              <w:bottom w:val="single" w:color="000000" w:sz="4" w:space="0"/>
              <w:right w:val="single" w:color="000000" w:sz="4" w:space="0"/>
            </w:tcBorders>
            <w:vAlign w:val="center"/>
          </w:tcPr>
          <w:p>
            <w:pPr>
              <w:wordWrap/>
              <w:adjustRightInd/>
              <w:snapToGrid/>
              <w:spacing w:line="300" w:lineRule="exact"/>
              <w:jc w:val="left"/>
              <w:rPr>
                <w:rFonts w:hint="eastAsia" w:ascii="宋体" w:hAnsi="宋体" w:cs="宋体"/>
                <w:color w:val="000000"/>
                <w:sz w:val="22"/>
              </w:rPr>
            </w:pPr>
          </w:p>
        </w:tc>
        <w:tc>
          <w:tcPr>
            <w:tcW w:w="3354" w:type="dxa"/>
            <w:tcBorders>
              <w:top w:val="nil"/>
              <w:left w:val="nil"/>
              <w:bottom w:val="single" w:color="000000" w:sz="4" w:space="0"/>
              <w:right w:val="single" w:color="000000" w:sz="4" w:space="0"/>
            </w:tcBorders>
            <w:vAlign w:val="center"/>
          </w:tcPr>
          <w:p>
            <w:pPr>
              <w:wordWrap/>
              <w:adjustRightInd/>
              <w:snapToGrid/>
              <w:spacing w:line="300" w:lineRule="exact"/>
              <w:jc w:val="left"/>
              <w:rPr>
                <w:rFonts w:hint="eastAsia" w:ascii="宋体" w:hAnsi="宋体" w:cs="宋体"/>
                <w:color w:val="000000"/>
                <w:sz w:val="22"/>
              </w:rPr>
            </w:pP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30399</w:t>
            </w:r>
          </w:p>
        </w:tc>
        <w:tc>
          <w:tcPr>
            <w:tcW w:w="309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其他对个人和家庭的补助</w:t>
            </w: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30240</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税金及附加费用</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ordWrap/>
              <w:adjustRightInd/>
              <w:snapToGrid/>
              <w:spacing w:line="300" w:lineRule="exact"/>
              <w:jc w:val="left"/>
              <w:rPr>
                <w:rFonts w:hint="eastAsia" w:ascii="宋体" w:hAnsi="宋体" w:cs="宋体"/>
                <w:color w:val="000000"/>
                <w:sz w:val="22"/>
              </w:rPr>
            </w:pPr>
          </w:p>
        </w:tc>
        <w:tc>
          <w:tcPr>
            <w:tcW w:w="3354" w:type="dxa"/>
            <w:tcBorders>
              <w:top w:val="nil"/>
              <w:left w:val="nil"/>
              <w:bottom w:val="single" w:color="000000" w:sz="4" w:space="0"/>
              <w:right w:val="single" w:color="000000" w:sz="4" w:space="0"/>
            </w:tcBorders>
            <w:vAlign w:val="center"/>
          </w:tcPr>
          <w:p>
            <w:pPr>
              <w:wordWrap/>
              <w:adjustRightInd/>
              <w:snapToGrid/>
              <w:spacing w:line="300" w:lineRule="exact"/>
              <w:jc w:val="left"/>
              <w:rPr>
                <w:rFonts w:hint="eastAsia" w:ascii="宋体" w:hAnsi="宋体" w:cs="宋体"/>
                <w:color w:val="000000"/>
                <w:sz w:val="22"/>
              </w:rPr>
            </w:pP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8" w:type="dxa"/>
            <w:tcBorders>
              <w:top w:val="nil"/>
              <w:left w:val="single" w:color="000000" w:sz="4" w:space="0"/>
              <w:bottom w:val="single" w:color="000000" w:sz="4" w:space="0"/>
              <w:right w:val="single" w:color="000000" w:sz="4" w:space="0"/>
            </w:tcBorders>
            <w:vAlign w:val="center"/>
          </w:tcPr>
          <w:p>
            <w:pPr>
              <w:wordWrap/>
              <w:adjustRightInd/>
              <w:snapToGrid/>
              <w:spacing w:line="300" w:lineRule="exact"/>
              <w:jc w:val="left"/>
              <w:rPr>
                <w:rFonts w:hint="eastAsia" w:ascii="宋体" w:hAnsi="宋体" w:cs="宋体"/>
                <w:color w:val="000000"/>
                <w:sz w:val="22"/>
              </w:rPr>
            </w:pPr>
          </w:p>
        </w:tc>
        <w:tc>
          <w:tcPr>
            <w:tcW w:w="3098" w:type="dxa"/>
            <w:tcBorders>
              <w:top w:val="nil"/>
              <w:left w:val="nil"/>
              <w:bottom w:val="single" w:color="000000" w:sz="4" w:space="0"/>
              <w:right w:val="single" w:color="000000" w:sz="4" w:space="0"/>
            </w:tcBorders>
            <w:vAlign w:val="center"/>
          </w:tcPr>
          <w:p>
            <w:pPr>
              <w:wordWrap/>
              <w:adjustRightInd/>
              <w:snapToGrid/>
              <w:spacing w:line="300" w:lineRule="exact"/>
              <w:jc w:val="left"/>
              <w:rPr>
                <w:rFonts w:hint="eastAsia" w:ascii="宋体" w:hAnsi="宋体" w:cs="宋体"/>
                <w:color w:val="000000"/>
                <w:sz w:val="22"/>
              </w:rPr>
            </w:pPr>
          </w:p>
        </w:tc>
        <w:tc>
          <w:tcPr>
            <w:tcW w:w="952"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938"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30299</w:t>
            </w:r>
          </w:p>
        </w:tc>
        <w:tc>
          <w:tcPr>
            <w:tcW w:w="1949" w:type="dxa"/>
            <w:tcBorders>
              <w:top w:val="nil"/>
              <w:left w:val="nil"/>
              <w:bottom w:val="single" w:color="000000" w:sz="4" w:space="0"/>
              <w:right w:val="single" w:color="000000" w:sz="4" w:space="0"/>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其他商品和服务支出</w:t>
            </w:r>
          </w:p>
        </w:tc>
        <w:tc>
          <w:tcPr>
            <w:tcW w:w="788"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c>
          <w:tcPr>
            <w:tcW w:w="844" w:type="dxa"/>
            <w:tcBorders>
              <w:top w:val="nil"/>
              <w:left w:val="nil"/>
              <w:bottom w:val="single" w:color="000000" w:sz="4" w:space="0"/>
              <w:right w:val="single" w:color="000000" w:sz="4" w:space="0"/>
            </w:tcBorders>
            <w:vAlign w:val="center"/>
          </w:tcPr>
          <w:p>
            <w:pPr>
              <w:wordWrap/>
              <w:adjustRightInd/>
              <w:snapToGrid/>
              <w:spacing w:line="300" w:lineRule="exact"/>
              <w:jc w:val="left"/>
              <w:rPr>
                <w:rFonts w:hint="eastAsia" w:ascii="宋体" w:hAnsi="宋体" w:cs="宋体"/>
                <w:color w:val="000000"/>
                <w:sz w:val="22"/>
              </w:rPr>
            </w:pPr>
          </w:p>
        </w:tc>
        <w:tc>
          <w:tcPr>
            <w:tcW w:w="3354" w:type="dxa"/>
            <w:tcBorders>
              <w:top w:val="nil"/>
              <w:left w:val="nil"/>
              <w:bottom w:val="single" w:color="000000" w:sz="4" w:space="0"/>
              <w:right w:val="single" w:color="000000" w:sz="4" w:space="0"/>
            </w:tcBorders>
            <w:vAlign w:val="center"/>
          </w:tcPr>
          <w:p>
            <w:pPr>
              <w:wordWrap/>
              <w:adjustRightInd/>
              <w:snapToGrid/>
              <w:spacing w:line="300" w:lineRule="exact"/>
              <w:jc w:val="left"/>
              <w:rPr>
                <w:rFonts w:hint="eastAsia" w:ascii="宋体" w:hAnsi="宋体" w:cs="宋体"/>
                <w:color w:val="000000"/>
                <w:sz w:val="22"/>
              </w:rPr>
            </w:pPr>
          </w:p>
        </w:tc>
        <w:tc>
          <w:tcPr>
            <w:tcW w:w="1220" w:type="dxa"/>
            <w:tcBorders>
              <w:top w:val="nil"/>
              <w:left w:val="nil"/>
              <w:bottom w:val="single" w:color="000000" w:sz="4" w:space="0"/>
              <w:right w:val="single" w:color="000000" w:sz="4" w:space="0"/>
            </w:tcBorders>
            <w:vAlign w:val="center"/>
          </w:tcPr>
          <w:p>
            <w:pPr>
              <w:wordWrap/>
              <w:adjustRightInd/>
              <w:snapToGrid/>
              <w:spacing w:line="300" w:lineRule="exact"/>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6" w:type="dxa"/>
            <w:gridSpan w:val="2"/>
            <w:tcBorders>
              <w:top w:val="nil"/>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宋体" w:hAnsi="宋体" w:cs="宋体"/>
                <w:color w:val="000000"/>
                <w:sz w:val="22"/>
              </w:rPr>
            </w:pPr>
            <w:r>
              <w:rPr>
                <w:rFonts w:hint="eastAsia" w:ascii="宋体" w:hAnsi="宋体" w:cs="宋体"/>
                <w:color w:val="000000"/>
                <w:kern w:val="0"/>
                <w:sz w:val="22"/>
              </w:rPr>
              <w:t>人员经费合计</w:t>
            </w:r>
          </w:p>
        </w:tc>
        <w:tc>
          <w:tcPr>
            <w:tcW w:w="952"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406.05</w:t>
            </w:r>
          </w:p>
        </w:tc>
        <w:tc>
          <w:tcPr>
            <w:tcW w:w="7873" w:type="dxa"/>
            <w:gridSpan w:val="5"/>
            <w:tcBorders>
              <w:top w:val="nil"/>
              <w:left w:val="nil"/>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宋体" w:hAnsi="宋体" w:cs="宋体"/>
                <w:color w:val="000000"/>
                <w:sz w:val="22"/>
              </w:rPr>
            </w:pPr>
            <w:r>
              <w:rPr>
                <w:rFonts w:hint="eastAsia" w:ascii="宋体" w:hAnsi="宋体" w:cs="宋体"/>
                <w:color w:val="000000"/>
                <w:kern w:val="0"/>
                <w:sz w:val="22"/>
              </w:rPr>
              <w:t>公用经费合计</w:t>
            </w:r>
          </w:p>
        </w:tc>
        <w:tc>
          <w:tcPr>
            <w:tcW w:w="1220" w:type="dxa"/>
            <w:tcBorders>
              <w:top w:val="nil"/>
              <w:left w:val="nil"/>
              <w:bottom w:val="single" w:color="000000" w:sz="4" w:space="0"/>
              <w:right w:val="single" w:color="000000" w:sz="4" w:space="0"/>
            </w:tcBorders>
            <w:vAlign w:val="center"/>
          </w:tcPr>
          <w:p>
            <w:pPr>
              <w:widowControl/>
              <w:wordWrap/>
              <w:adjustRightInd/>
              <w:snapToGrid/>
              <w:spacing w:line="300" w:lineRule="exact"/>
              <w:jc w:val="right"/>
              <w:textAlignment w:val="center"/>
              <w:rPr>
                <w:rFonts w:hint="eastAsia" w:ascii="宋体" w:hAnsi="宋体" w:cs="宋体"/>
                <w:color w:val="000000"/>
                <w:sz w:val="22"/>
              </w:rPr>
            </w:pPr>
            <w:r>
              <w:rPr>
                <w:rFonts w:hint="eastAsia" w:ascii="宋体" w:hAnsi="宋体" w:cs="宋体"/>
                <w:color w:val="000000"/>
                <w:kern w:val="0"/>
                <w:sz w:val="22"/>
              </w:rPr>
              <w:t>24.25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vAlign w:val="center"/>
          </w:tcPr>
          <w:p>
            <w:pPr>
              <w:widowControl/>
              <w:wordWrap/>
              <w:adjustRightInd/>
              <w:snapToGrid/>
              <w:spacing w:line="300" w:lineRule="exact"/>
              <w:jc w:val="left"/>
              <w:textAlignment w:val="center"/>
              <w:rPr>
                <w:rFonts w:hint="eastAsia" w:ascii="宋体" w:hAnsi="宋体" w:cs="宋体"/>
                <w:color w:val="000000"/>
                <w:sz w:val="22"/>
              </w:rPr>
            </w:pPr>
            <w:r>
              <w:rPr>
                <w:rFonts w:hint="eastAsia" w:ascii="宋体" w:hAnsi="宋体" w:cs="宋体"/>
                <w:color w:val="000000"/>
                <w:kern w:val="0"/>
                <w:sz w:val="22"/>
              </w:rPr>
              <w:t>注：本表反映部门本年度一般公共预算财政拨款基本支出明细情况。本表金额转换为万元时，因四舍五入可能存在尾差。</w:t>
            </w:r>
          </w:p>
        </w:tc>
      </w:tr>
    </w:tbl>
    <w:p>
      <w:pPr>
        <w:wordWrap/>
        <w:adjustRightInd/>
        <w:snapToGrid/>
        <w:spacing w:line="300" w:lineRule="exac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1065"/>
        <w:gridCol w:w="1080"/>
        <w:gridCol w:w="1155"/>
        <w:gridCol w:w="1110"/>
        <w:gridCol w:w="1185"/>
        <w:gridCol w:w="1110"/>
        <w:gridCol w:w="1290"/>
        <w:gridCol w:w="1185"/>
        <w:gridCol w:w="1200"/>
        <w:gridCol w:w="118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710" w:type="dxa"/>
            <w:gridSpan w:val="12"/>
            <w:tcBorders>
              <w:top w:val="nil"/>
              <w:left w:val="nil"/>
              <w:bottom w:val="nil"/>
              <w:right w:val="nil"/>
            </w:tcBorders>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30"/>
                <w:szCs w:val="3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90" w:type="dxa"/>
            <w:tcBorders>
              <w:top w:val="nil"/>
              <w:left w:val="nil"/>
              <w:bottom w:val="nil"/>
              <w:right w:val="nil"/>
            </w:tcBorders>
            <w:vAlign w:val="bottom"/>
          </w:tcPr>
          <w:p>
            <w:pPr>
              <w:rPr>
                <w:rFonts w:hint="eastAsia" w:ascii="Arial" w:hAnsi="Arial" w:cs="Arial"/>
                <w:color w:val="000000"/>
                <w:sz w:val="20"/>
                <w:szCs w:val="20"/>
              </w:rPr>
            </w:pPr>
          </w:p>
        </w:tc>
        <w:tc>
          <w:tcPr>
            <w:tcW w:w="1065" w:type="dxa"/>
            <w:tcBorders>
              <w:top w:val="nil"/>
              <w:left w:val="nil"/>
              <w:bottom w:val="nil"/>
              <w:right w:val="nil"/>
            </w:tcBorders>
            <w:vAlign w:val="bottom"/>
          </w:tcPr>
          <w:p>
            <w:pPr>
              <w:rPr>
                <w:rFonts w:ascii="Arial" w:hAnsi="Arial" w:cs="Arial"/>
                <w:color w:val="000000"/>
                <w:sz w:val="20"/>
                <w:szCs w:val="20"/>
              </w:rPr>
            </w:pPr>
          </w:p>
        </w:tc>
        <w:tc>
          <w:tcPr>
            <w:tcW w:w="1080" w:type="dxa"/>
            <w:tcBorders>
              <w:top w:val="nil"/>
              <w:left w:val="nil"/>
              <w:bottom w:val="nil"/>
              <w:right w:val="nil"/>
            </w:tcBorders>
            <w:vAlign w:val="bottom"/>
          </w:tcPr>
          <w:p>
            <w:pPr>
              <w:rPr>
                <w:rFonts w:ascii="Arial" w:hAnsi="Arial" w:cs="Arial"/>
                <w:color w:val="000000"/>
                <w:sz w:val="20"/>
                <w:szCs w:val="20"/>
              </w:rPr>
            </w:pPr>
          </w:p>
        </w:tc>
        <w:tc>
          <w:tcPr>
            <w:tcW w:w="1155" w:type="dxa"/>
            <w:tcBorders>
              <w:top w:val="nil"/>
              <w:left w:val="nil"/>
              <w:bottom w:val="nil"/>
              <w:right w:val="nil"/>
            </w:tcBorders>
            <w:vAlign w:val="bottom"/>
          </w:tcPr>
          <w:p>
            <w:pPr>
              <w:rPr>
                <w:rFonts w:ascii="Arial" w:hAnsi="Arial" w:cs="Arial"/>
                <w:color w:val="000000"/>
                <w:sz w:val="20"/>
                <w:szCs w:val="20"/>
              </w:rPr>
            </w:pPr>
          </w:p>
        </w:tc>
        <w:tc>
          <w:tcPr>
            <w:tcW w:w="1110" w:type="dxa"/>
            <w:tcBorders>
              <w:top w:val="nil"/>
              <w:left w:val="nil"/>
              <w:bottom w:val="nil"/>
              <w:right w:val="nil"/>
            </w:tcBorders>
            <w:vAlign w:val="bottom"/>
          </w:tcPr>
          <w:p>
            <w:pPr>
              <w:rPr>
                <w:rFonts w:ascii="Arial" w:hAnsi="Arial" w:cs="Arial"/>
                <w:color w:val="000000"/>
                <w:sz w:val="20"/>
                <w:szCs w:val="20"/>
              </w:rPr>
            </w:pPr>
          </w:p>
        </w:tc>
        <w:tc>
          <w:tcPr>
            <w:tcW w:w="1185" w:type="dxa"/>
            <w:tcBorders>
              <w:top w:val="nil"/>
              <w:left w:val="nil"/>
              <w:bottom w:val="nil"/>
              <w:right w:val="nil"/>
            </w:tcBorders>
            <w:vAlign w:val="bottom"/>
          </w:tcPr>
          <w:p>
            <w:pPr>
              <w:rPr>
                <w:rFonts w:ascii="Arial" w:hAnsi="Arial" w:cs="Arial"/>
                <w:color w:val="000000"/>
                <w:sz w:val="20"/>
                <w:szCs w:val="20"/>
              </w:rPr>
            </w:pPr>
          </w:p>
        </w:tc>
        <w:tc>
          <w:tcPr>
            <w:tcW w:w="1110" w:type="dxa"/>
            <w:tcBorders>
              <w:top w:val="nil"/>
              <w:left w:val="nil"/>
              <w:bottom w:val="nil"/>
              <w:right w:val="nil"/>
            </w:tcBorders>
            <w:vAlign w:val="bottom"/>
          </w:tcPr>
          <w:p>
            <w:pPr>
              <w:rPr>
                <w:rFonts w:ascii="Arial" w:hAnsi="Arial" w:cs="Arial"/>
                <w:color w:val="000000"/>
                <w:sz w:val="20"/>
                <w:szCs w:val="20"/>
              </w:rPr>
            </w:pPr>
          </w:p>
        </w:tc>
        <w:tc>
          <w:tcPr>
            <w:tcW w:w="1290" w:type="dxa"/>
            <w:tcBorders>
              <w:top w:val="nil"/>
              <w:left w:val="nil"/>
              <w:bottom w:val="nil"/>
              <w:right w:val="nil"/>
            </w:tcBorders>
            <w:vAlign w:val="bottom"/>
          </w:tcPr>
          <w:p>
            <w:pPr>
              <w:rPr>
                <w:rFonts w:ascii="Arial" w:hAnsi="Arial" w:cs="Arial"/>
                <w:color w:val="000000"/>
                <w:sz w:val="20"/>
                <w:szCs w:val="20"/>
              </w:rPr>
            </w:pPr>
          </w:p>
        </w:tc>
        <w:tc>
          <w:tcPr>
            <w:tcW w:w="1185" w:type="dxa"/>
            <w:tcBorders>
              <w:top w:val="nil"/>
              <w:left w:val="nil"/>
              <w:bottom w:val="nil"/>
              <w:right w:val="nil"/>
            </w:tcBorders>
            <w:vAlign w:val="bottom"/>
          </w:tcPr>
          <w:p>
            <w:pPr>
              <w:rPr>
                <w:rFonts w:ascii="Arial" w:hAnsi="Arial" w:cs="Arial"/>
                <w:color w:val="000000"/>
                <w:sz w:val="20"/>
                <w:szCs w:val="20"/>
              </w:rPr>
            </w:pPr>
          </w:p>
        </w:tc>
        <w:tc>
          <w:tcPr>
            <w:tcW w:w="1200" w:type="dxa"/>
            <w:tcBorders>
              <w:top w:val="nil"/>
              <w:left w:val="nil"/>
              <w:bottom w:val="nil"/>
              <w:right w:val="nil"/>
            </w:tcBorders>
            <w:vAlign w:val="bottom"/>
          </w:tcPr>
          <w:p>
            <w:pPr>
              <w:rPr>
                <w:rFonts w:ascii="Arial" w:hAnsi="Arial" w:cs="Arial"/>
                <w:color w:val="000000"/>
                <w:sz w:val="20"/>
                <w:szCs w:val="20"/>
              </w:rPr>
            </w:pPr>
          </w:p>
        </w:tc>
        <w:tc>
          <w:tcPr>
            <w:tcW w:w="2340"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00" w:type="dxa"/>
            <w:gridSpan w:val="5"/>
            <w:tcBorders>
              <w:top w:val="nil"/>
              <w:left w:val="nil"/>
              <w:bottom w:val="nil"/>
              <w:right w:val="nil"/>
            </w:tcBorders>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rPr>
              <w:t>部门：许昌市污水处理费征收中心</w:t>
            </w:r>
          </w:p>
        </w:tc>
        <w:tc>
          <w:tcPr>
            <w:tcW w:w="1185" w:type="dxa"/>
            <w:tcBorders>
              <w:top w:val="nil"/>
              <w:left w:val="nil"/>
              <w:bottom w:val="nil"/>
              <w:right w:val="nil"/>
            </w:tcBorders>
            <w:vAlign w:val="bottom"/>
          </w:tcPr>
          <w:p>
            <w:pPr>
              <w:rPr>
                <w:rFonts w:ascii="Arial" w:hAnsi="Arial" w:cs="Arial"/>
                <w:color w:val="000000"/>
                <w:sz w:val="20"/>
                <w:szCs w:val="20"/>
              </w:rPr>
            </w:pPr>
          </w:p>
        </w:tc>
        <w:tc>
          <w:tcPr>
            <w:tcW w:w="1110" w:type="dxa"/>
            <w:tcBorders>
              <w:top w:val="nil"/>
              <w:left w:val="nil"/>
              <w:bottom w:val="nil"/>
              <w:right w:val="nil"/>
            </w:tcBorders>
            <w:vAlign w:val="bottom"/>
          </w:tcPr>
          <w:p>
            <w:pPr>
              <w:rPr>
                <w:rFonts w:ascii="Arial" w:hAnsi="Arial" w:cs="Arial"/>
                <w:color w:val="000000"/>
                <w:sz w:val="20"/>
                <w:szCs w:val="20"/>
              </w:rPr>
            </w:pPr>
          </w:p>
        </w:tc>
        <w:tc>
          <w:tcPr>
            <w:tcW w:w="1290" w:type="dxa"/>
            <w:tcBorders>
              <w:top w:val="nil"/>
              <w:left w:val="nil"/>
              <w:bottom w:val="nil"/>
              <w:right w:val="nil"/>
            </w:tcBorders>
            <w:vAlign w:val="bottom"/>
          </w:tcPr>
          <w:p>
            <w:pPr>
              <w:rPr>
                <w:rFonts w:ascii="Arial" w:hAnsi="Arial" w:cs="Arial"/>
                <w:color w:val="000000"/>
                <w:sz w:val="20"/>
                <w:szCs w:val="20"/>
              </w:rPr>
            </w:pPr>
          </w:p>
        </w:tc>
        <w:tc>
          <w:tcPr>
            <w:tcW w:w="1185" w:type="dxa"/>
            <w:tcBorders>
              <w:top w:val="nil"/>
              <w:left w:val="nil"/>
              <w:bottom w:val="nil"/>
              <w:right w:val="nil"/>
            </w:tcBorders>
            <w:vAlign w:val="bottom"/>
          </w:tcPr>
          <w:p>
            <w:pPr>
              <w:rPr>
                <w:rFonts w:ascii="Arial" w:hAnsi="Arial" w:cs="Arial"/>
                <w:color w:val="000000"/>
                <w:sz w:val="20"/>
                <w:szCs w:val="20"/>
              </w:rPr>
            </w:pPr>
          </w:p>
        </w:tc>
        <w:tc>
          <w:tcPr>
            <w:tcW w:w="1200" w:type="dxa"/>
            <w:tcBorders>
              <w:top w:val="nil"/>
              <w:left w:val="nil"/>
              <w:bottom w:val="nil"/>
              <w:right w:val="nil"/>
            </w:tcBorders>
            <w:vAlign w:val="bottom"/>
          </w:tcPr>
          <w:p>
            <w:pPr>
              <w:rPr>
                <w:rFonts w:ascii="Arial" w:hAnsi="Arial" w:cs="Arial"/>
                <w:color w:val="000000"/>
                <w:sz w:val="20"/>
                <w:szCs w:val="20"/>
              </w:rPr>
            </w:pPr>
          </w:p>
        </w:tc>
        <w:tc>
          <w:tcPr>
            <w:tcW w:w="2340"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8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预算数</w:t>
            </w:r>
          </w:p>
        </w:tc>
        <w:tc>
          <w:tcPr>
            <w:tcW w:w="7125"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06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因公出国（境）费</w:t>
            </w:r>
          </w:p>
        </w:tc>
        <w:tc>
          <w:tcPr>
            <w:tcW w:w="3345"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公务用车购置及运行费</w:t>
            </w:r>
          </w:p>
        </w:tc>
        <w:tc>
          <w:tcPr>
            <w:tcW w:w="118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公务接待费</w:t>
            </w:r>
          </w:p>
        </w:tc>
        <w:tc>
          <w:tcPr>
            <w:tcW w:w="11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29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因公出国（境）费</w:t>
            </w:r>
          </w:p>
        </w:tc>
        <w:tc>
          <w:tcPr>
            <w:tcW w:w="357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公务用车购置及运行费</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9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065"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公务用车购置费</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公务用车运行费</w:t>
            </w:r>
          </w:p>
        </w:tc>
        <w:tc>
          <w:tcPr>
            <w:tcW w:w="1185"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10"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290"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1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公务用车购置费</w:t>
            </w:r>
          </w:p>
        </w:tc>
        <w:tc>
          <w:tcPr>
            <w:tcW w:w="11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公务用车运行费</w:t>
            </w: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0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0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1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7</w:t>
            </w:r>
          </w:p>
        </w:tc>
        <w:tc>
          <w:tcPr>
            <w:tcW w:w="12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8</w:t>
            </w:r>
          </w:p>
        </w:tc>
        <w:tc>
          <w:tcPr>
            <w:tcW w:w="11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9</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10</w:t>
            </w:r>
          </w:p>
        </w:tc>
        <w:tc>
          <w:tcPr>
            <w:tcW w:w="11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11</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w:t>
            </w:r>
            <w:r>
              <w:rPr>
                <w:rFonts w:hint="eastAsia" w:ascii="宋体" w:hAnsi="宋体" w:cs="宋体"/>
                <w:color w:val="000000"/>
                <w:kern w:val="0"/>
                <w:sz w:val="22"/>
                <w:lang w:val="en-US" w:eastAsia="zh-CN"/>
              </w:rPr>
              <w:t>5</w:t>
            </w:r>
            <w:r>
              <w:rPr>
                <w:rFonts w:hint="eastAsia" w:ascii="宋体" w:hAnsi="宋体" w:cs="宋体"/>
                <w:color w:val="000000"/>
                <w:kern w:val="0"/>
                <w:sz w:val="22"/>
              </w:rPr>
              <w:t>0</w:t>
            </w:r>
          </w:p>
        </w:tc>
        <w:tc>
          <w:tcPr>
            <w:tcW w:w="106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2.00</w:t>
            </w:r>
          </w:p>
        </w:tc>
        <w:tc>
          <w:tcPr>
            <w:tcW w:w="1155" w:type="dxa"/>
            <w:tcBorders>
              <w:top w:val="nil"/>
              <w:left w:val="nil"/>
              <w:bottom w:val="single" w:color="000000" w:sz="4" w:space="0"/>
              <w:right w:val="single" w:color="000000" w:sz="4" w:space="0"/>
            </w:tcBorders>
            <w:vAlign w:val="center"/>
          </w:tcPr>
          <w:p>
            <w:pPr>
              <w:jc w:val="right"/>
              <w:rPr>
                <w:rFonts w:hint="default" w:ascii="宋体" w:hAnsi="宋体" w:eastAsia="宋体" w:cs="宋体"/>
                <w:color w:val="000000"/>
                <w:sz w:val="22"/>
                <w:lang w:val="en-US" w:eastAsia="zh-CN"/>
              </w:rPr>
            </w:pPr>
          </w:p>
        </w:tc>
        <w:tc>
          <w:tcPr>
            <w:tcW w:w="11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2.00</w:t>
            </w:r>
          </w:p>
        </w:tc>
        <w:tc>
          <w:tcPr>
            <w:tcW w:w="1185" w:type="dxa"/>
            <w:tcBorders>
              <w:top w:val="nil"/>
              <w:left w:val="nil"/>
              <w:bottom w:val="single" w:color="000000" w:sz="4" w:space="0"/>
              <w:right w:val="single" w:color="000000" w:sz="4" w:space="0"/>
            </w:tcBorders>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0.50</w:t>
            </w:r>
          </w:p>
        </w:tc>
        <w:tc>
          <w:tcPr>
            <w:tcW w:w="11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1.81</w:t>
            </w:r>
          </w:p>
        </w:tc>
        <w:tc>
          <w:tcPr>
            <w:tcW w:w="129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1.81</w:t>
            </w:r>
          </w:p>
        </w:tc>
        <w:tc>
          <w:tcPr>
            <w:tcW w:w="1200"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1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1.81</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710" w:type="dxa"/>
            <w:gridSpan w:val="12"/>
            <w:tcBorders>
              <w:top w:val="nil"/>
              <w:left w:val="nil"/>
              <w:bottom w:val="nil"/>
              <w:right w:val="nil"/>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0"/>
        <w:gridCol w:w="360"/>
        <w:gridCol w:w="360"/>
        <w:gridCol w:w="1777"/>
        <w:gridCol w:w="1883"/>
        <w:gridCol w:w="1581"/>
        <w:gridCol w:w="1644"/>
        <w:gridCol w:w="1819"/>
        <w:gridCol w:w="1819"/>
        <w:gridCol w:w="1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425" w:type="dxa"/>
            <w:gridSpan w:val="10"/>
            <w:tcBorders>
              <w:top w:val="nil"/>
              <w:left w:val="nil"/>
              <w:bottom w:val="nil"/>
              <w:right w:val="nil"/>
            </w:tcBorders>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0" w:type="dxa"/>
            <w:tcBorders>
              <w:top w:val="nil"/>
              <w:left w:val="nil"/>
              <w:bottom w:val="nil"/>
              <w:right w:val="nil"/>
            </w:tcBorders>
            <w:vAlign w:val="bottom"/>
          </w:tcPr>
          <w:p>
            <w:pPr>
              <w:rPr>
                <w:rFonts w:hint="eastAsia" w:ascii="Arial" w:hAnsi="Arial" w:cs="Arial"/>
                <w:color w:val="000000"/>
                <w:sz w:val="20"/>
                <w:szCs w:val="20"/>
              </w:rPr>
            </w:pPr>
          </w:p>
        </w:tc>
        <w:tc>
          <w:tcPr>
            <w:tcW w:w="360" w:type="dxa"/>
            <w:tcBorders>
              <w:top w:val="nil"/>
              <w:left w:val="nil"/>
              <w:bottom w:val="nil"/>
              <w:right w:val="nil"/>
            </w:tcBorders>
            <w:vAlign w:val="bottom"/>
          </w:tcPr>
          <w:p>
            <w:pPr>
              <w:rPr>
                <w:rFonts w:ascii="Arial" w:hAnsi="Arial" w:cs="Arial"/>
                <w:color w:val="000000"/>
                <w:sz w:val="20"/>
                <w:szCs w:val="20"/>
              </w:rPr>
            </w:pPr>
          </w:p>
        </w:tc>
        <w:tc>
          <w:tcPr>
            <w:tcW w:w="360" w:type="dxa"/>
            <w:tcBorders>
              <w:top w:val="nil"/>
              <w:left w:val="nil"/>
              <w:bottom w:val="nil"/>
              <w:right w:val="nil"/>
            </w:tcBorders>
            <w:vAlign w:val="bottom"/>
          </w:tcPr>
          <w:p>
            <w:pPr>
              <w:rPr>
                <w:rFonts w:ascii="Arial" w:hAnsi="Arial" w:cs="Arial"/>
                <w:color w:val="000000"/>
                <w:sz w:val="20"/>
                <w:szCs w:val="20"/>
              </w:rPr>
            </w:pPr>
          </w:p>
        </w:tc>
        <w:tc>
          <w:tcPr>
            <w:tcW w:w="1777" w:type="dxa"/>
            <w:tcBorders>
              <w:top w:val="nil"/>
              <w:left w:val="nil"/>
              <w:bottom w:val="nil"/>
              <w:right w:val="nil"/>
            </w:tcBorders>
            <w:vAlign w:val="bottom"/>
          </w:tcPr>
          <w:p>
            <w:pPr>
              <w:rPr>
                <w:rFonts w:ascii="Arial" w:hAnsi="Arial" w:cs="Arial"/>
                <w:color w:val="000000"/>
                <w:sz w:val="20"/>
                <w:szCs w:val="20"/>
              </w:rPr>
            </w:pPr>
          </w:p>
        </w:tc>
        <w:tc>
          <w:tcPr>
            <w:tcW w:w="1883" w:type="dxa"/>
            <w:tcBorders>
              <w:top w:val="nil"/>
              <w:left w:val="nil"/>
              <w:bottom w:val="nil"/>
              <w:right w:val="nil"/>
            </w:tcBorders>
            <w:vAlign w:val="bottom"/>
          </w:tcPr>
          <w:p>
            <w:pPr>
              <w:rPr>
                <w:rFonts w:ascii="Arial" w:hAnsi="Arial" w:cs="Arial"/>
                <w:color w:val="000000"/>
                <w:sz w:val="20"/>
                <w:szCs w:val="20"/>
              </w:rPr>
            </w:pPr>
          </w:p>
        </w:tc>
        <w:tc>
          <w:tcPr>
            <w:tcW w:w="1581" w:type="dxa"/>
            <w:tcBorders>
              <w:top w:val="nil"/>
              <w:left w:val="nil"/>
              <w:bottom w:val="nil"/>
              <w:right w:val="nil"/>
            </w:tcBorders>
            <w:vAlign w:val="bottom"/>
          </w:tcPr>
          <w:p>
            <w:pPr>
              <w:rPr>
                <w:rFonts w:ascii="Arial" w:hAnsi="Arial" w:cs="Arial"/>
                <w:color w:val="000000"/>
                <w:sz w:val="20"/>
                <w:szCs w:val="20"/>
              </w:rPr>
            </w:pPr>
          </w:p>
        </w:tc>
        <w:tc>
          <w:tcPr>
            <w:tcW w:w="1644" w:type="dxa"/>
            <w:tcBorders>
              <w:top w:val="nil"/>
              <w:left w:val="nil"/>
              <w:bottom w:val="nil"/>
              <w:right w:val="nil"/>
            </w:tcBorders>
            <w:vAlign w:val="bottom"/>
          </w:tcPr>
          <w:p>
            <w:pPr>
              <w:rPr>
                <w:rFonts w:ascii="Arial" w:hAnsi="Arial" w:cs="Arial"/>
                <w:color w:val="000000"/>
                <w:sz w:val="20"/>
                <w:szCs w:val="20"/>
              </w:rPr>
            </w:pPr>
          </w:p>
        </w:tc>
        <w:tc>
          <w:tcPr>
            <w:tcW w:w="1819" w:type="dxa"/>
            <w:tcBorders>
              <w:top w:val="nil"/>
              <w:left w:val="nil"/>
              <w:bottom w:val="nil"/>
              <w:right w:val="nil"/>
            </w:tcBorders>
            <w:vAlign w:val="bottom"/>
          </w:tcPr>
          <w:p>
            <w:pPr>
              <w:rPr>
                <w:rFonts w:ascii="Arial" w:hAnsi="Arial" w:cs="Arial"/>
                <w:color w:val="000000"/>
                <w:sz w:val="20"/>
                <w:szCs w:val="20"/>
              </w:rPr>
            </w:pPr>
          </w:p>
        </w:tc>
        <w:tc>
          <w:tcPr>
            <w:tcW w:w="3641"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40" w:type="dxa"/>
            <w:gridSpan w:val="5"/>
            <w:tcBorders>
              <w:top w:val="nil"/>
              <w:left w:val="nil"/>
              <w:bottom w:val="nil"/>
              <w:right w:val="nil"/>
            </w:tcBorders>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rPr>
              <w:t>部门：许昌市污水处理费征收中心</w:t>
            </w:r>
          </w:p>
        </w:tc>
        <w:tc>
          <w:tcPr>
            <w:tcW w:w="1581" w:type="dxa"/>
            <w:tcBorders>
              <w:top w:val="nil"/>
              <w:left w:val="nil"/>
              <w:bottom w:val="nil"/>
              <w:right w:val="nil"/>
            </w:tcBorders>
            <w:vAlign w:val="bottom"/>
          </w:tcPr>
          <w:p>
            <w:pPr>
              <w:rPr>
                <w:rFonts w:ascii="Arial" w:hAnsi="Arial" w:cs="Arial"/>
                <w:color w:val="000000"/>
                <w:sz w:val="20"/>
                <w:szCs w:val="20"/>
              </w:rPr>
            </w:pPr>
          </w:p>
        </w:tc>
        <w:tc>
          <w:tcPr>
            <w:tcW w:w="1644" w:type="dxa"/>
            <w:tcBorders>
              <w:top w:val="nil"/>
              <w:left w:val="nil"/>
              <w:bottom w:val="nil"/>
              <w:right w:val="nil"/>
            </w:tcBorders>
            <w:vAlign w:val="bottom"/>
          </w:tcPr>
          <w:p>
            <w:pPr>
              <w:rPr>
                <w:rFonts w:ascii="Arial" w:hAnsi="Arial" w:cs="Arial"/>
                <w:color w:val="000000"/>
                <w:sz w:val="20"/>
                <w:szCs w:val="20"/>
              </w:rPr>
            </w:pPr>
          </w:p>
        </w:tc>
        <w:tc>
          <w:tcPr>
            <w:tcW w:w="1819" w:type="dxa"/>
            <w:tcBorders>
              <w:top w:val="nil"/>
              <w:left w:val="nil"/>
              <w:bottom w:val="nil"/>
              <w:right w:val="nil"/>
            </w:tcBorders>
            <w:vAlign w:val="bottom"/>
          </w:tcPr>
          <w:p>
            <w:pPr>
              <w:rPr>
                <w:rFonts w:ascii="Arial" w:hAnsi="Arial" w:cs="Arial"/>
                <w:color w:val="000000"/>
                <w:sz w:val="20"/>
                <w:szCs w:val="20"/>
              </w:rPr>
            </w:pPr>
          </w:p>
        </w:tc>
        <w:tc>
          <w:tcPr>
            <w:tcW w:w="3641" w:type="dxa"/>
            <w:gridSpan w:val="2"/>
            <w:tcBorders>
              <w:top w:val="nil"/>
              <w:left w:val="nil"/>
              <w:bottom w:val="nil"/>
              <w:right w:val="nil"/>
            </w:tcBorders>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188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年初结转和结余</w:t>
            </w:r>
          </w:p>
        </w:tc>
        <w:tc>
          <w:tcPr>
            <w:tcW w:w="158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本年收入</w:t>
            </w:r>
          </w:p>
        </w:tc>
        <w:tc>
          <w:tcPr>
            <w:tcW w:w="5282"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本年支出</w:t>
            </w:r>
          </w:p>
        </w:tc>
        <w:tc>
          <w:tcPr>
            <w:tcW w:w="182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8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177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8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5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64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181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基本支出</w:t>
            </w:r>
          </w:p>
        </w:tc>
        <w:tc>
          <w:tcPr>
            <w:tcW w:w="181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项目支出</w:t>
            </w:r>
          </w:p>
        </w:tc>
        <w:tc>
          <w:tcPr>
            <w:tcW w:w="182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8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777"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8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5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644"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819"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819"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82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8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777"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88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5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644"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819"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819" w:type="dxa"/>
            <w:vMerge w:val="continue"/>
            <w:tcBorders>
              <w:top w:val="nil"/>
              <w:left w:val="nil"/>
              <w:bottom w:val="single" w:color="000000" w:sz="4" w:space="0"/>
              <w:right w:val="single" w:color="000000" w:sz="4" w:space="0"/>
            </w:tcBorders>
            <w:vAlign w:val="center"/>
          </w:tcPr>
          <w:p>
            <w:pPr>
              <w:jc w:val="center"/>
              <w:rPr>
                <w:rFonts w:hint="eastAsia" w:ascii="宋体" w:hAnsi="宋体" w:cs="宋体"/>
                <w:color w:val="000000"/>
                <w:sz w:val="22"/>
              </w:rPr>
            </w:pPr>
          </w:p>
        </w:tc>
        <w:tc>
          <w:tcPr>
            <w:tcW w:w="182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18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58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6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81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81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82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883"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c>
          <w:tcPr>
            <w:tcW w:w="1581"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c>
          <w:tcPr>
            <w:tcW w:w="1644"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c>
          <w:tcPr>
            <w:tcW w:w="1819"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c>
          <w:tcPr>
            <w:tcW w:w="1819"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c>
          <w:tcPr>
            <w:tcW w:w="1822" w:type="dxa"/>
            <w:tcBorders>
              <w:top w:val="nil"/>
              <w:left w:val="nil"/>
              <w:bottom w:val="single" w:color="000000" w:sz="4" w:space="0"/>
              <w:right w:val="single" w:color="000000" w:sz="4" w:space="0"/>
            </w:tcBorders>
            <w:vAlign w:val="center"/>
          </w:tcPr>
          <w:p>
            <w:pPr>
              <w:jc w:val="right"/>
              <w:rPr>
                <w:rFonts w:hint="eastAsia" w:ascii="宋体" w:hAnsi="宋体" w:cs="宋体"/>
                <w:b/>
                <w:bCs/>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1777" w:type="dxa"/>
            <w:tcBorders>
              <w:top w:val="nil"/>
              <w:left w:val="nil"/>
              <w:bottom w:val="single" w:color="000000" w:sz="4" w:space="0"/>
              <w:right w:val="single" w:color="000000" w:sz="4" w:space="0"/>
            </w:tcBorders>
            <w:vAlign w:val="center"/>
          </w:tcPr>
          <w:p>
            <w:pPr>
              <w:jc w:val="left"/>
              <w:rPr>
                <w:rFonts w:hint="eastAsia" w:ascii="宋体" w:hAnsi="宋体" w:cs="宋体"/>
                <w:color w:val="000000"/>
                <w:sz w:val="22"/>
              </w:rPr>
            </w:pPr>
          </w:p>
        </w:tc>
        <w:tc>
          <w:tcPr>
            <w:tcW w:w="188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58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6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82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1777" w:type="dxa"/>
            <w:tcBorders>
              <w:top w:val="nil"/>
              <w:left w:val="nil"/>
              <w:bottom w:val="single" w:color="000000" w:sz="4" w:space="0"/>
              <w:right w:val="single" w:color="000000" w:sz="4" w:space="0"/>
            </w:tcBorders>
            <w:vAlign w:val="center"/>
          </w:tcPr>
          <w:p>
            <w:pPr>
              <w:jc w:val="left"/>
              <w:rPr>
                <w:rFonts w:hint="eastAsia" w:ascii="宋体" w:hAnsi="宋体" w:cs="宋体"/>
                <w:color w:val="000000"/>
                <w:sz w:val="22"/>
              </w:rPr>
            </w:pPr>
          </w:p>
        </w:tc>
        <w:tc>
          <w:tcPr>
            <w:tcW w:w="188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58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6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82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1777" w:type="dxa"/>
            <w:tcBorders>
              <w:top w:val="nil"/>
              <w:left w:val="nil"/>
              <w:bottom w:val="single" w:color="000000" w:sz="4" w:space="0"/>
              <w:right w:val="single" w:color="000000" w:sz="4" w:space="0"/>
            </w:tcBorders>
            <w:vAlign w:val="center"/>
          </w:tcPr>
          <w:p>
            <w:pPr>
              <w:jc w:val="left"/>
              <w:rPr>
                <w:rFonts w:hint="eastAsia" w:ascii="宋体" w:hAnsi="宋体" w:cs="宋体"/>
                <w:color w:val="000000"/>
                <w:sz w:val="22"/>
              </w:rPr>
            </w:pPr>
          </w:p>
        </w:tc>
        <w:tc>
          <w:tcPr>
            <w:tcW w:w="1883"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581"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644"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819"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c>
          <w:tcPr>
            <w:tcW w:w="1822" w:type="dxa"/>
            <w:tcBorders>
              <w:top w:val="nil"/>
              <w:left w:val="nil"/>
              <w:bottom w:val="single" w:color="000000" w:sz="4" w:space="0"/>
              <w:right w:val="single" w:color="000000" w:sz="4" w:space="0"/>
            </w:tcBorders>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25" w:type="dxa"/>
            <w:gridSpan w:val="10"/>
            <w:tcBorders>
              <w:top w:val="nil"/>
              <w:left w:val="nil"/>
              <w:bottom w:val="nil"/>
              <w:right w:val="nil"/>
            </w:tcBorders>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年度收、支总计均为433.07万元。与上年度相比，收、支总计各增加5.86万元，增长1.37%。主要原因是人员</w:t>
      </w:r>
      <w:r>
        <w:rPr>
          <w:rFonts w:hint="eastAsia" w:ascii="仿宋_GB2312" w:hAnsi="仿宋_GB2312" w:eastAsia="仿宋_GB2312" w:cs="仿宋_GB2312"/>
          <w:sz w:val="32"/>
          <w:szCs w:val="32"/>
          <w:lang w:eastAsia="zh-CN"/>
        </w:rPr>
        <w:t>薪级正常调整</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年度收入合计397.53万元，其中：财政拨款收入397.53万元，占100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年度支出合计433.07万元，其中：基本支出430.30万元，占</w:t>
      </w:r>
      <w:r>
        <w:rPr>
          <w:rFonts w:hint="eastAsia" w:ascii="仿宋_GB2312" w:hAnsi="仿宋_GB2312" w:eastAsia="仿宋_GB2312" w:cs="仿宋_GB2312"/>
          <w:sz w:val="32"/>
          <w:szCs w:val="32"/>
          <w:lang w:val="en-US" w:eastAsia="zh-CN"/>
        </w:rPr>
        <w:t>99.36</w:t>
      </w:r>
      <w:r>
        <w:rPr>
          <w:rFonts w:hint="eastAsia" w:ascii="仿宋_GB2312" w:hAnsi="仿宋_GB2312" w:eastAsia="仿宋_GB2312" w:cs="仿宋_GB2312"/>
          <w:sz w:val="32"/>
          <w:szCs w:val="32"/>
        </w:rPr>
        <w:t>%；项目支出2.77万元，占</w:t>
      </w:r>
      <w:r>
        <w:rPr>
          <w:rFonts w:hint="eastAsia" w:ascii="仿宋_GB2312" w:hAnsi="仿宋_GB2312" w:eastAsia="仿宋_GB2312" w:cs="仿宋_GB2312"/>
          <w:sz w:val="32"/>
          <w:szCs w:val="32"/>
          <w:lang w:val="en-US" w:eastAsia="zh-CN"/>
        </w:rPr>
        <w:t>0.64</w:t>
      </w:r>
      <w:r>
        <w:rPr>
          <w:rFonts w:hint="eastAsia" w:ascii="仿宋_GB2312" w:hAnsi="仿宋_GB2312" w:eastAsia="仿宋_GB2312" w:cs="仿宋_GB2312"/>
          <w:sz w:val="32"/>
          <w:szCs w:val="32"/>
        </w:rPr>
        <w:t>%；上缴上级支出0.00万元，占0.00%；经营支出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433.07</w:t>
      </w:r>
      <w:r>
        <w:rPr>
          <w:rFonts w:hint="eastAsia" w:ascii="仿宋_GB2312" w:hAnsi="仿宋_GB2312" w:eastAsia="仿宋_GB2312" w:cs="仿宋_GB2312"/>
          <w:sz w:val="32"/>
          <w:szCs w:val="32"/>
        </w:rPr>
        <w:t>万元。与上年度相比，财政拨款收、支总计各增加</w:t>
      </w:r>
      <w:r>
        <w:rPr>
          <w:rFonts w:hint="eastAsia" w:ascii="仿宋_GB2312" w:hAnsi="仿宋_GB2312" w:eastAsia="仿宋_GB2312" w:cs="仿宋_GB2312"/>
          <w:sz w:val="32"/>
          <w:szCs w:val="32"/>
          <w:lang w:val="en-US" w:eastAsia="zh-CN"/>
        </w:rPr>
        <w:t>5.86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1.37</w:t>
      </w:r>
      <w:r>
        <w:rPr>
          <w:rFonts w:hint="eastAsia" w:ascii="仿宋_GB2312" w:hAnsi="仿宋_GB2312" w:eastAsia="仿宋_GB2312" w:cs="仿宋_GB2312"/>
          <w:sz w:val="32"/>
          <w:szCs w:val="32"/>
        </w:rPr>
        <w:t>%。主要原因是人员</w:t>
      </w:r>
      <w:r>
        <w:rPr>
          <w:rFonts w:hint="eastAsia" w:ascii="仿宋_GB2312" w:hAnsi="仿宋_GB2312" w:eastAsia="仿宋_GB2312" w:cs="仿宋_GB2312"/>
          <w:sz w:val="32"/>
          <w:szCs w:val="32"/>
          <w:lang w:eastAsia="zh-CN"/>
        </w:rPr>
        <w:t>薪级正常调整</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433.07</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%。与上年度相比，一般公共预算财政拨款支出增加</w:t>
      </w:r>
      <w:r>
        <w:rPr>
          <w:rFonts w:hint="eastAsia" w:ascii="仿宋_GB2312" w:hAnsi="仿宋_GB2312" w:eastAsia="仿宋_GB2312" w:cs="仿宋_GB2312"/>
          <w:sz w:val="32"/>
          <w:szCs w:val="32"/>
          <w:lang w:val="en-US" w:eastAsia="zh-CN"/>
        </w:rPr>
        <w:t>46.03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11.89</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2021年发放2019年未休假工资及2020年1-9月提标平时考核奖。</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433.07</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2.12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0.49</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社会保障和就业（类）支出29.18万元，占6.74%；卫生健康（类）支出12.23万元，占2.82%；农林水（类）支出389.54万元，占89.95%。</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416.63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433.07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103.95</w:t>
      </w:r>
      <w:r>
        <w:rPr>
          <w:rFonts w:hint="eastAsia" w:ascii="仿宋_GB2312" w:hAnsi="仿宋_GB2312" w:eastAsia="仿宋_GB2312" w:cs="仿宋_GB2312"/>
          <w:sz w:val="32"/>
          <w:szCs w:val="32"/>
        </w:rPr>
        <w:t>%。其中：</w:t>
      </w:r>
    </w:p>
    <w:p>
      <w:pPr>
        <w:widowControl/>
        <w:numPr>
          <w:ilvl w:val="0"/>
          <w:numId w:val="2"/>
        </w:numPr>
        <w:wordWrap/>
        <w:adjustRightInd/>
        <w:snapToGrid/>
        <w:spacing w:line="590" w:lineRule="exact"/>
        <w:ind w:left="-13" w:leftChars="0" w:right="0" w:firstLine="643"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年初预算为2.12万元，支出决算为2.12万元，完成年初预算的100.00%。决算数与预算数不存在差异。</w:t>
      </w:r>
    </w:p>
    <w:p>
      <w:pPr>
        <w:widowControl/>
        <w:numPr>
          <w:ilvl w:val="0"/>
          <w:numId w:val="2"/>
        </w:numPr>
        <w:wordWrap/>
        <w:adjustRightInd/>
        <w:snapToGrid/>
        <w:spacing w:line="590" w:lineRule="exact"/>
        <w:ind w:left="-13" w:leftChars="0" w:right="0" w:firstLine="643"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年初预算为2.61万元，支出决算为2.52万元，完成年初预算的96.55%。决算数与年初预算数存在差异的主要原因是退休人员文明奖与预算核算标准略有不同。</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年初预算为25.87万元，支出决算为26.66万元，完成年初预算的103.05%。决算数与年初预算数存在差异的主要原因是2021年7月养老保险缴费基数上调。</w:t>
      </w:r>
    </w:p>
    <w:p>
      <w:pPr>
        <w:widowControl/>
        <w:numPr>
          <w:ilvl w:val="0"/>
          <w:numId w:val="0"/>
        </w:numPr>
        <w:wordWrap/>
        <w:adjustRightInd/>
        <w:snapToGrid/>
        <w:spacing w:line="590" w:lineRule="exact"/>
        <w:ind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年初预算为12.48万元，支出决算为12.23万元，完成年初预算的97.80%。决算数与年初预算数存在差异的主要原因是实际缴纳医保上半年基数低于预算核算标准。</w:t>
      </w:r>
    </w:p>
    <w:p>
      <w:pPr>
        <w:widowControl/>
        <w:wordWrap/>
        <w:adjustRightInd/>
        <w:snapToGrid/>
        <w:spacing w:line="590" w:lineRule="exact"/>
        <w:ind w:left="0" w:leftChars="0" w:right="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农林水（类）水利（款）水利行业业务管理（项）。</w:t>
      </w:r>
      <w:r>
        <w:rPr>
          <w:rFonts w:hint="eastAsia"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000000"/>
          <w:sz w:val="32"/>
          <w:szCs w:val="32"/>
          <w:highlight w:val="none"/>
          <w:lang w:val="en-US" w:eastAsia="zh-CN"/>
        </w:rPr>
        <w:t>373.55</w:t>
      </w:r>
      <w:r>
        <w:rPr>
          <w:rFonts w:hint="eastAsia" w:ascii="仿宋_GB2312" w:hAnsi="仿宋_GB2312" w:eastAsia="仿宋_GB2312" w:cs="仿宋_GB2312"/>
          <w:color w:val="auto"/>
          <w:sz w:val="32"/>
          <w:szCs w:val="32"/>
          <w:highlight w:val="none"/>
          <w:lang w:val="en-US" w:eastAsia="zh-CN"/>
        </w:rPr>
        <w:t>万元，支出决算为389.54万元，完成年初预算的</w:t>
      </w:r>
      <w:r>
        <w:rPr>
          <w:rFonts w:hint="eastAsia" w:ascii="仿宋_GB2312" w:hAnsi="仿宋_GB2312" w:eastAsia="仿宋_GB2312" w:cs="仿宋_GB2312"/>
          <w:color w:val="000000"/>
          <w:sz w:val="32"/>
          <w:szCs w:val="32"/>
          <w:highlight w:val="none"/>
          <w:lang w:val="en-US" w:eastAsia="zh-CN"/>
        </w:rPr>
        <w:t>104.28%。决算数与年初预算数存在差异的主要原因是</w:t>
      </w:r>
      <w:r>
        <w:rPr>
          <w:rFonts w:hint="eastAsia" w:ascii="仿宋_GB2312" w:hAnsi="仿宋_GB2312" w:eastAsia="仿宋_GB2312" w:cs="仿宋_GB2312"/>
          <w:sz w:val="32"/>
          <w:szCs w:val="32"/>
          <w:lang w:val="en-US" w:eastAsia="zh-CN"/>
        </w:rPr>
        <w:t>2021年发放2019年未休假工资及2020年1-9月提标平时考核奖。</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430.30</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406.05</w:t>
      </w:r>
      <w:r>
        <w:rPr>
          <w:rFonts w:hint="eastAsia" w:ascii="仿宋_GB2312" w:hAnsi="仿宋_GB2312" w:eastAsia="仿宋_GB2312" w:cs="仿宋_GB2312"/>
          <w:sz w:val="32"/>
          <w:szCs w:val="32"/>
        </w:rPr>
        <w:t>万元，主要包括：基本工资、津贴补贴、</w:t>
      </w:r>
      <w:r>
        <w:rPr>
          <w:rFonts w:hint="eastAsia" w:ascii="仿宋_GB2312" w:hAnsi="仿宋_GB2312" w:eastAsia="仿宋_GB2312" w:cs="仿宋_GB2312"/>
          <w:sz w:val="32"/>
          <w:szCs w:val="32"/>
          <w:lang w:eastAsia="zh-CN"/>
        </w:rPr>
        <w:t>奖金、</w:t>
      </w:r>
      <w:r>
        <w:rPr>
          <w:rFonts w:hint="eastAsia" w:ascii="仿宋_GB2312" w:hAnsi="仿宋_GB2312" w:eastAsia="仿宋_GB2312" w:cs="仿宋_GB2312"/>
          <w:sz w:val="32"/>
          <w:szCs w:val="32"/>
        </w:rPr>
        <w:t>绩效工资、机关事业单位基本养老保险缴费、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w:t>
      </w:r>
      <w:r>
        <w:rPr>
          <w:rFonts w:hint="eastAsia" w:ascii="仿宋_GB2312" w:hAnsi="仿宋_GB2312" w:eastAsia="仿宋_GB2312" w:cs="仿宋_GB2312"/>
          <w:sz w:val="32"/>
          <w:szCs w:val="32"/>
        </w:rPr>
        <w:t>其他社会保障缴费、退休费、住房公积金；公用经费</w:t>
      </w:r>
      <w:r>
        <w:rPr>
          <w:rFonts w:hint="eastAsia" w:ascii="仿宋_GB2312" w:hAnsi="仿宋_GB2312" w:eastAsia="仿宋_GB2312" w:cs="仿宋_GB2312"/>
          <w:sz w:val="32"/>
          <w:szCs w:val="32"/>
          <w:lang w:val="en-US" w:eastAsia="zh-CN"/>
        </w:rPr>
        <w:t>24.25</w:t>
      </w:r>
      <w:r>
        <w:rPr>
          <w:rFonts w:hint="eastAsia" w:ascii="仿宋_GB2312" w:hAnsi="仿宋_GB2312" w:eastAsia="仿宋_GB2312" w:cs="仿宋_GB2312"/>
          <w:sz w:val="32"/>
          <w:szCs w:val="32"/>
        </w:rPr>
        <w:t>万元，主要包括：办公费、水费、电费、邮电费、取暖费、物业管理费、差旅费、维修（护）费、租赁费、培训费、委托业务费、工会经费、福利费、公务用车运行维护费、其他交通费用。</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72.40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w:t>
      </w:r>
      <w:r>
        <w:rPr>
          <w:rFonts w:hint="eastAsia" w:ascii="仿宋_GB2312" w:hAnsi="仿宋_GB2312" w:eastAsia="仿宋_GB2312" w:cs="仿宋_GB2312"/>
          <w:sz w:val="32"/>
          <w:szCs w:val="32"/>
          <w:highlight w:val="none"/>
        </w:rPr>
        <w:t>严格执行中央八项规定精神，厉行节约压缩三公经费支出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1.81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90.50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万元。决算数与预算数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w:t>
      </w:r>
      <w:r>
        <w:rPr>
          <w:rFonts w:hint="eastAsia" w:ascii="仿宋_GB2312" w:hAnsi="仿宋_GB2312" w:eastAsia="仿宋_GB2312" w:cs="仿宋_GB2312"/>
          <w:sz w:val="32"/>
          <w:szCs w:val="32"/>
          <w:lang w:eastAsia="zh-CN"/>
        </w:rPr>
        <w:t>。</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90.50</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highlight w:val="none"/>
        </w:rPr>
        <w:t>严格执行中央八项规定精神，厉行节约压缩三公经费支出</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1.81</w:t>
      </w:r>
      <w:r>
        <w:rPr>
          <w:rFonts w:hint="eastAsia" w:ascii="仿宋_GB2312" w:hAnsi="仿宋_GB2312" w:eastAsia="仿宋_GB2312" w:cs="仿宋_GB2312"/>
          <w:sz w:val="32"/>
          <w:szCs w:val="32"/>
        </w:rPr>
        <w:t>万元。主要用于</w:t>
      </w:r>
      <w:r>
        <w:rPr>
          <w:rFonts w:hint="eastAsia" w:ascii="仿宋_GB2312" w:eastAsia="仿宋_GB2312"/>
          <w:color w:val="000000"/>
          <w:sz w:val="32"/>
          <w:szCs w:val="32"/>
        </w:rPr>
        <w:t>单位公务用车的燃料费、维</w:t>
      </w:r>
      <w:r>
        <w:rPr>
          <w:rFonts w:hint="eastAsia" w:ascii="仿宋_GB2312" w:eastAsia="仿宋_GB2312"/>
          <w:color w:val="000000"/>
          <w:sz w:val="32"/>
          <w:szCs w:val="32"/>
          <w:lang w:eastAsia="zh-CN"/>
        </w:rPr>
        <w:t>修</w:t>
      </w:r>
      <w:r>
        <w:rPr>
          <w:rFonts w:hint="eastAsia" w:ascii="仿宋_GB2312" w:eastAsia="仿宋_GB2312"/>
          <w:color w:val="000000"/>
          <w:sz w:val="32"/>
          <w:szCs w:val="32"/>
        </w:rPr>
        <w:t>费、</w:t>
      </w:r>
      <w:r>
        <w:rPr>
          <w:rFonts w:hint="eastAsia" w:ascii="仿宋_GB2312" w:eastAsia="仿宋_GB2312"/>
          <w:color w:val="000000"/>
          <w:sz w:val="32"/>
          <w:szCs w:val="32"/>
          <w:lang w:eastAsia="zh-CN"/>
        </w:rPr>
        <w:t>车辆检测</w:t>
      </w:r>
      <w:r>
        <w:rPr>
          <w:rFonts w:hint="eastAsia" w:ascii="仿宋_GB2312" w:eastAsia="仿宋_GB2312"/>
          <w:color w:val="000000"/>
          <w:sz w:val="32"/>
          <w:szCs w:val="32"/>
        </w:rPr>
        <w:t>费、保险费等支出</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量。</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0.50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highlight w:val="none"/>
        </w:rPr>
        <w:t>严格执行中央八项规定精神，厉行节约压缩</w:t>
      </w:r>
      <w:r>
        <w:rPr>
          <w:rFonts w:hint="eastAsia" w:ascii="仿宋_GB2312" w:hAnsi="仿宋_GB2312" w:eastAsia="仿宋_GB2312" w:cs="仿宋_GB2312"/>
          <w:sz w:val="32"/>
          <w:szCs w:val="32"/>
          <w:highlight w:val="none"/>
          <w:lang w:eastAsia="zh-CN"/>
        </w:rPr>
        <w:t>公务接待</w:t>
      </w:r>
      <w:r>
        <w:rPr>
          <w:rFonts w:hint="eastAsia" w:ascii="仿宋_GB2312" w:hAnsi="仿宋_GB2312" w:eastAsia="仿宋_GB2312" w:cs="仿宋_GB2312"/>
          <w:sz w:val="32"/>
          <w:szCs w:val="32"/>
          <w:highlight w:val="none"/>
        </w:rPr>
        <w:t>经费支出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highlight w:val="none"/>
          <w:lang w:val="en-US" w:eastAsia="zh-CN"/>
        </w:rPr>
        <w:t>。不存在项目年末结转和结余资金数额较大。</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情况说明：</w:t>
      </w: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万元，其中：授予小微企业合同金额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按照《中共许昌市委 许昌市人民政府关于全面实施预算绩效管理的实施意见》（许发〔2021〕13号）文件要求，对本</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整体支出和项目支出开展全过程预算绩效管理。</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我单位</w:t>
      </w:r>
      <w:r>
        <w:rPr>
          <w:rFonts w:hint="eastAsia" w:ascii="仿宋_GB2312" w:hAnsi="仿宋_GB2312" w:eastAsia="仿宋_GB2312" w:cs="仿宋_GB2312"/>
          <w:sz w:val="32"/>
          <w:szCs w:val="32"/>
        </w:rPr>
        <w:t>以绩效目标实现为导向，加强组织领导，制定工作方案，认真组织开展绩效工作，按照年度目标任务，逐项落实责任人和完成时间节点。</w:t>
      </w:r>
      <w:r>
        <w:rPr>
          <w:rFonts w:hint="eastAsia" w:ascii="仿宋_GB2312" w:eastAsia="仿宋_GB2312"/>
          <w:sz w:val="32"/>
          <w:szCs w:val="32"/>
        </w:rPr>
        <w:t>对本单位预算绩效监控工作进行明确分工，明确工作要求，整体预算绩效做到日常监控，并对绩效运行监控信息进行收集、审核、分析、填报，分析偏离绩效目标的原因，并及时采取纠偏措施，</w:t>
      </w:r>
      <w:r>
        <w:rPr>
          <w:rFonts w:hint="eastAsia" w:ascii="仿宋_GB2312" w:hAnsi="仿宋_GB2312" w:eastAsia="仿宋_GB2312" w:cs="仿宋_GB2312"/>
          <w:sz w:val="32"/>
          <w:szCs w:val="32"/>
        </w:rPr>
        <w:t>定期对绩效目标完成情况开展自查，及时发现问题并解决问题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将绩效评价结果更好地应用到工作中。</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按照《许昌市财政局关于开展2021年度市级预算绩效自评工作的通知》（许财效）〔2021〕1号）等文件精神，我</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对本</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整体绩效目标和项目支出绩效目标进行了自评。</w:t>
      </w:r>
    </w:p>
    <w:p>
      <w:pPr>
        <w:widowControl/>
        <w:numPr>
          <w:ilvl w:val="0"/>
          <w:numId w:val="0"/>
        </w:numPr>
        <w:wordWrap/>
        <w:adjustRightInd/>
        <w:snapToGrid/>
        <w:spacing w:line="590" w:lineRule="exact"/>
        <w:ind w:right="0" w:firstLine="641"/>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color w:val="auto"/>
          <w:sz w:val="32"/>
          <w:szCs w:val="32"/>
          <w:highlight w:val="none"/>
          <w:lang w:val="en-US" w:eastAsia="zh-CN"/>
        </w:rPr>
        <w:t>整体绩效自评情况。</w:t>
      </w:r>
      <w:r>
        <w:rPr>
          <w:rFonts w:hint="eastAsia" w:ascii="仿宋_GB2312" w:hAnsi="仿宋_GB2312" w:eastAsia="仿宋_GB2312" w:cs="仿宋_GB2312"/>
          <w:b w:val="0"/>
          <w:bCs/>
          <w:sz w:val="30"/>
          <w:szCs w:val="30"/>
        </w:rPr>
        <w:t>我</w:t>
      </w:r>
      <w:r>
        <w:rPr>
          <w:rFonts w:hint="eastAsia" w:ascii="仿宋_GB2312" w:hAnsi="仿宋_GB2312" w:eastAsia="仿宋_GB2312" w:cs="仿宋_GB2312"/>
          <w:b w:val="0"/>
          <w:bCs/>
          <w:sz w:val="30"/>
          <w:szCs w:val="30"/>
          <w:lang w:eastAsia="zh-CN"/>
        </w:rPr>
        <w:t>单位</w:t>
      </w:r>
      <w:r>
        <w:rPr>
          <w:rFonts w:hint="eastAsia" w:ascii="仿宋_GB2312" w:hAnsi="仿宋_GB2312" w:eastAsia="仿宋_GB2312" w:cs="仿宋_GB2312"/>
          <w:b w:val="0"/>
          <w:bCs/>
          <w:sz w:val="30"/>
          <w:szCs w:val="30"/>
          <w:lang w:val="en-US" w:eastAsia="zh-CN"/>
        </w:rPr>
        <w:t>2021</w:t>
      </w:r>
      <w:r>
        <w:rPr>
          <w:rFonts w:hint="eastAsia" w:ascii="仿宋_GB2312" w:hAnsi="仿宋_GB2312" w:eastAsia="仿宋_GB2312" w:cs="仿宋_GB2312"/>
          <w:b w:val="0"/>
          <w:bCs/>
          <w:sz w:val="30"/>
          <w:szCs w:val="30"/>
        </w:rPr>
        <w:t>年度严格执行年初预算，资金使用及管理规范，制度落实到位，绩效考核目标任务圆满完成，</w:t>
      </w:r>
      <w:r>
        <w:rPr>
          <w:rFonts w:hint="eastAsia" w:ascii="仿宋_GB2312" w:hAnsi="仿宋_GB2312" w:eastAsia="仿宋_GB2312" w:cs="仿宋_GB2312"/>
          <w:color w:val="auto"/>
          <w:sz w:val="32"/>
          <w:szCs w:val="32"/>
          <w:highlight w:val="none"/>
          <w:lang w:val="en-US" w:eastAsia="zh-CN"/>
        </w:rPr>
        <w:t>顺利完成城市规划区内污水处理费的征收、城镇污水排入排水管网许可证的办理、城市污水处理费征收、排水许可管理法律法规进行宣传、对移交立案材料进行审核、符合条件的按照程序办理等年度主要任务和总目标，</w:t>
      </w:r>
      <w:r>
        <w:rPr>
          <w:rFonts w:hint="eastAsia" w:ascii="仿宋_GB2312" w:hAnsi="仿宋_GB2312" w:eastAsia="仿宋_GB2312" w:cs="仿宋_GB2312"/>
          <w:b w:val="0"/>
          <w:bCs/>
          <w:sz w:val="30"/>
          <w:szCs w:val="30"/>
        </w:rPr>
        <w:t>按照整体支出绩效评价指标体系对照打分得出结果为</w:t>
      </w:r>
      <w:r>
        <w:rPr>
          <w:rFonts w:hint="eastAsia" w:ascii="仿宋_GB2312" w:hAnsi="仿宋_GB2312" w:eastAsia="仿宋_GB2312" w:cs="仿宋_GB2312"/>
          <w:b w:val="0"/>
          <w:bCs/>
          <w:sz w:val="30"/>
          <w:szCs w:val="30"/>
          <w:lang w:val="en-US" w:eastAsia="zh-CN"/>
        </w:rPr>
        <w:t>96</w:t>
      </w:r>
      <w:r>
        <w:rPr>
          <w:rFonts w:hint="eastAsia" w:ascii="仿宋_GB2312" w:hAnsi="仿宋_GB2312" w:eastAsia="仿宋_GB2312" w:cs="仿宋_GB2312"/>
          <w:b w:val="0"/>
          <w:bCs/>
          <w:sz w:val="30"/>
          <w:szCs w:val="30"/>
        </w:rPr>
        <w:t>分，等级为优秀。</w:t>
      </w:r>
    </w:p>
    <w:p>
      <w:pPr>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二是项目绩效自评情况。我单位2021年预算没有项目收支，并且项目支出全部为上年结转资金，因此没有开展项目绩效评价。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rPr>
        <w:t>共有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个项目批复了绩效目标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项目金额0.00万元</w:t>
      </w:r>
      <w:r>
        <w:rPr>
          <w:rFonts w:hint="eastAsia" w:ascii="仿宋_GB2312" w:hAnsi="仿宋_GB2312" w:eastAsia="仿宋_GB2312" w:cs="仿宋_GB2312"/>
          <w:sz w:val="32"/>
          <w:szCs w:val="32"/>
        </w:rPr>
        <w:t>。基于项目预期目标的实现程度，对2021年度项目支出绩效进行自评，绩效自评平均得分为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分。其中：</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个项目评价等级为“中”、</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个项目评价等级为“差”。</w:t>
      </w:r>
    </w:p>
    <w:p>
      <w:pPr>
        <w:widowControl/>
        <w:spacing w:line="360" w:lineRule="auto"/>
        <w:ind w:firstLine="643" w:firstLineChars="200"/>
        <w:outlineLvl w:val="2"/>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（三）重点绩效评价结果。</w:t>
      </w:r>
      <w:r>
        <w:rPr>
          <w:rFonts w:hint="eastAsia" w:ascii="仿宋_GB2312" w:hAnsi="仿宋_GB2312" w:eastAsia="仿宋_GB2312" w:cs="仿宋_GB2312"/>
          <w:sz w:val="32"/>
          <w:szCs w:val="32"/>
        </w:rPr>
        <w:t xml:space="preserve"> </w:t>
      </w:r>
    </w:p>
    <w:p>
      <w:pPr>
        <w:widowControl/>
        <w:ind w:firstLine="640" w:firstLineChars="200"/>
        <w:jc w:val="left"/>
        <w:rPr>
          <w:rFonts w:hint="default" w:ascii="黑体" w:hAnsi="宋体" w:eastAsia="黑体" w:cs="宋体"/>
          <w:kern w:val="0"/>
          <w:sz w:val="28"/>
          <w:szCs w:val="28"/>
          <w:lang w:val="en-US" w:eastAsia="zh-CN"/>
        </w:rPr>
      </w:pPr>
      <w:r>
        <w:rPr>
          <w:rFonts w:hint="eastAsia" w:ascii="仿宋_GB2312" w:hAnsi="仿宋_GB2312" w:eastAsia="仿宋_GB2312" w:cs="仿宋_GB2312"/>
          <w:sz w:val="32"/>
          <w:szCs w:val="32"/>
          <w:lang w:val="en-US" w:eastAsia="zh-CN"/>
        </w:rPr>
        <w:t>2021年度我单位没有开展重点绩效评价的项目。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tabs>
          <w:tab w:val="left" w:pos="2349"/>
        </w:tabs>
        <w:jc w:val="left"/>
        <w:outlineLvl w:val="0"/>
        <w:rPr>
          <w:rFonts w:hint="eastAsia" w:ascii="黑体" w:hAnsi="黑体" w:eastAsia="黑体" w:cs="黑体"/>
          <w:sz w:val="48"/>
          <w:szCs w:val="48"/>
          <w:lang w:eastAsia="zh-CN"/>
        </w:rPr>
      </w:pPr>
    </w:p>
    <w:p>
      <w:pPr>
        <w:jc w:val="center"/>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7650" cy="131445"/>
              <wp:effectExtent l="0" t="0" r="0" b="0"/>
              <wp:wrapNone/>
              <wp:docPr id="3" name="文本框 6"/>
              <wp:cNvGraphicFramePr/>
              <a:graphic xmlns:a="http://schemas.openxmlformats.org/drawingml/2006/main">
                <a:graphicData uri="http://schemas.microsoft.com/office/word/2010/wordprocessingShape">
                  <wps:wsp>
                    <wps:cNvSpPr/>
                    <wps:spPr>
                      <a:xfrm>
                        <a:off x="0" y="0"/>
                        <a:ext cx="247650"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- 19 -</w:t>
                          </w:r>
                          <w:r>
                            <w:rPr>
                              <w:rFonts w:hint="eastAsia"/>
                              <w:sz w:val="18"/>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0.35pt;width:19.5pt;mso-position-horizontal:center;mso-position-horizontal-relative:margin;mso-wrap-style:none;z-index:251661312;mso-width-relative:page;mso-height-relative:page;" filled="f" stroked="f" coordsize="21600,21600" o:gfxdata="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IOvka9EAAAADAQAADwAAAAAAAAABACAAAAAiAAAAZHJzL2Rvd25yZXYu&#10;eG1sUEsBAhQAFAAAAAgAh07iQEZCBUzJAQAAjQMAAA4AAAAAAAAAAQAgAAAAIA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- 19 -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1027"/>
              <wp:cNvGraphicFramePr/>
              <a:graphic xmlns:a="http://schemas.openxmlformats.org/drawingml/2006/main">
                <a:graphicData uri="http://schemas.microsoft.com/office/word/2010/wordprocessingShape">
                  <wps:wsp>
                    <wps:cNvSpPr/>
                    <wps:spPr>
                      <a:xfrm>
                        <a:off x="0" y="0"/>
                        <a:ext cx="114935" cy="153035"/>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文本框 1027" o:spid="_x0000_s1026" o:spt="1"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5f4xHRAAAAAwEAAA8AAAAAAAAAAQAgAAAAIgAAAGRycy9kb3ducmV2&#10;LnhtbFBLAQIUABQAAAAIAIdO4kDOeVMaygEAAJADAAAOAAAAAAAAAAEAIAAAACABAABkcnMvZTJv&#10;RG9jLnhtbFBLBQYAAAAABgAGAFkBAABcBQ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131445"/>
              <wp:effectExtent l="0" t="0" r="0" b="0"/>
              <wp:wrapNone/>
              <wp:docPr id="2" name="文本框 7"/>
              <wp:cNvGraphicFramePr/>
              <a:graphic xmlns:a="http://schemas.openxmlformats.org/drawingml/2006/main">
                <a:graphicData uri="http://schemas.microsoft.com/office/word/2010/wordprocessingShape">
                  <wps:wsp>
                    <wps:cNvSpPr/>
                    <wps:spPr>
                      <a:xfrm>
                        <a:off x="0" y="0"/>
                        <a:ext cx="247650"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- 18 -</w:t>
                          </w:r>
                          <w:r>
                            <w:rPr>
                              <w:rFonts w:hint="eastAsia"/>
                              <w:sz w:val="18"/>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0.35pt;width:19.5pt;mso-position-horizontal:center;mso-position-horizontal-relative:margin;mso-wrap-style:none;z-index:251660288;mso-width-relative:page;mso-height-relative:page;" filled="f" stroked="f" coordsize="21600,21600" o:gfxdata="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g6+Rr0QAAAAMBAAAPAAAAAAAAAAEAIAAAACIAAABkcnMvZG93bnJldi54&#10;bWxQSwECFAAUAAAACACHTuJA+R+KdMgBAACNAwAADgAAAAAAAAABACAAAAAg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- 18 -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E207FD"/>
    <w:multiLevelType w:val="singleLevel"/>
    <w:tmpl w:val="EBE207FD"/>
    <w:lvl w:ilvl="0" w:tentative="0">
      <w:start w:val="1"/>
      <w:numFmt w:val="decimal"/>
      <w:suff w:val="nothing"/>
      <w:lvlText w:val="%1．"/>
      <w:lvlJc w:val="left"/>
      <w:pPr>
        <w:ind w:left="-13"/>
      </w:p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6F4A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字符"/>
    <w:link w:val="2"/>
    <w:qFormat/>
    <w:uiPriority w:val="99"/>
    <w:rPr>
      <w:kern w:val="2"/>
      <w:sz w:val="18"/>
      <w:szCs w:val="18"/>
    </w:rPr>
  </w:style>
  <w:style w:type="character" w:customStyle="1" w:styleId="10">
    <w:name w:val="页脚 字符"/>
    <w:link w:val="3"/>
    <w:uiPriority w:val="99"/>
    <w:rPr>
      <w:kern w:val="2"/>
      <w:sz w:val="18"/>
      <w:szCs w:val="18"/>
    </w:rPr>
  </w:style>
  <w:style w:type="character" w:customStyle="1" w:styleId="11">
    <w:name w:val="页眉 字符"/>
    <w:link w:val="4"/>
    <w:uiPriority w:val="99"/>
    <w:rPr>
      <w:kern w:val="2"/>
      <w:sz w:val="18"/>
      <w:szCs w:val="18"/>
    </w:rPr>
  </w:style>
  <w:style w:type="character" w:customStyle="1" w:styleId="12">
    <w:name w:val="font01"/>
    <w:qFormat/>
    <w:uiPriority w:val="0"/>
    <w:rPr>
      <w:rFonts w:hint="eastAsia" w:ascii="宋体" w:hAnsi="宋体" w:eastAsia="宋体" w:cs="宋体"/>
      <w:color w:val="000000"/>
      <w:sz w:val="22"/>
      <w:szCs w:val="22"/>
      <w:u w:val="non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font51"/>
    <w:qFormat/>
    <w:uiPriority w:val="0"/>
    <w:rPr>
      <w:rFonts w:hint="eastAsia" w:ascii="宋体" w:hAnsi="宋体" w:eastAsia="宋体" w:cs="宋体"/>
      <w:color w:val="000000"/>
      <w:sz w:val="24"/>
      <w:szCs w:val="24"/>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28</Pages>
  <Words>7932</Words>
  <Characters>9637</Characters>
  <Lines>80</Lines>
  <Paragraphs>22</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2022-09-06T09:34:00Z</dcterms:created>
  <dc:creator>管理者</dc:creator>
  <cp:lastModifiedBy>悟の</cp:lastModifiedBy>
  <cp:lastPrinted>2018-07-24T18:50:00Z</cp:lastPrinted>
  <dcterms:modified xsi:type="dcterms:W3CDTF">2022-09-22T08:15:39Z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AEBC9D63F11547F69ABB6911450ADED4</vt:lpwstr>
  </property>
</Properties>
</file>